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5" w:rsidRDefault="00B86315" w:rsidP="00B86315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15" w:rsidRPr="00776320" w:rsidRDefault="00B86315" w:rsidP="00B86315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B86315" w:rsidRPr="00776320" w:rsidRDefault="00B86315" w:rsidP="00B86315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B86315" w:rsidRDefault="00B86315" w:rsidP="00B86315">
      <w:pPr>
        <w:tabs>
          <w:tab w:val="left" w:pos="3274"/>
        </w:tabs>
        <w:jc w:val="center"/>
        <w:rPr>
          <w:b/>
        </w:rPr>
      </w:pPr>
    </w:p>
    <w:p w:rsidR="00B86315" w:rsidRPr="0041567F" w:rsidRDefault="00B86315" w:rsidP="00B86315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B86315" w:rsidRDefault="00B86315" w:rsidP="00B86315">
      <w:pPr>
        <w:tabs>
          <w:tab w:val="left" w:pos="3274"/>
        </w:tabs>
        <w:jc w:val="center"/>
        <w:rPr>
          <w:b/>
        </w:rPr>
      </w:pPr>
    </w:p>
    <w:p w:rsidR="00B86315" w:rsidRDefault="00B86315" w:rsidP="00B8631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612517">
        <w:rPr>
          <w:b/>
          <w:sz w:val="20"/>
          <w:szCs w:val="20"/>
        </w:rPr>
        <w:t xml:space="preserve"> </w:t>
      </w:r>
      <w:r w:rsidR="00612517" w:rsidRPr="00C0078A">
        <w:rPr>
          <w:b/>
          <w:caps/>
          <w:sz w:val="20"/>
          <w:szCs w:val="20"/>
        </w:rPr>
        <w:t>Departamento de Línguas e Literaturas Estrangeiras Modernas</w:t>
      </w:r>
    </w:p>
    <w:p w:rsidR="00B86315" w:rsidRPr="00C0078A" w:rsidRDefault="00B86315" w:rsidP="00B86315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612517">
        <w:rPr>
          <w:b/>
          <w:sz w:val="20"/>
          <w:szCs w:val="20"/>
        </w:rPr>
        <w:t xml:space="preserve"> </w:t>
      </w:r>
      <w:r w:rsidR="00C0078A" w:rsidRPr="00C0078A">
        <w:rPr>
          <w:sz w:val="20"/>
          <w:szCs w:val="20"/>
        </w:rPr>
        <w:t xml:space="preserve">Campus Lagoa Nova, Instituto Ágora, </w:t>
      </w:r>
      <w:proofErr w:type="gramStart"/>
      <w:r w:rsidR="00C0078A" w:rsidRPr="00C0078A">
        <w:rPr>
          <w:sz w:val="20"/>
          <w:szCs w:val="20"/>
        </w:rPr>
        <w:t>R.</w:t>
      </w:r>
      <w:proofErr w:type="gramEnd"/>
      <w:r w:rsidR="00C0078A" w:rsidRPr="00C0078A">
        <w:rPr>
          <w:sz w:val="20"/>
          <w:szCs w:val="20"/>
        </w:rPr>
        <w:t xml:space="preserve"> do Ágora - Lagoa Nova, Natal - RN</w:t>
      </w:r>
    </w:p>
    <w:p w:rsidR="00B86315" w:rsidRPr="00C0078A" w:rsidRDefault="00B86315" w:rsidP="00B86315">
      <w:pPr>
        <w:spacing w:after="0" w:line="240" w:lineRule="auto"/>
        <w:jc w:val="both"/>
        <w:rPr>
          <w:sz w:val="20"/>
          <w:szCs w:val="20"/>
        </w:rPr>
      </w:pPr>
      <w:r w:rsidRPr="00C0078A">
        <w:rPr>
          <w:sz w:val="20"/>
          <w:szCs w:val="20"/>
        </w:rPr>
        <w:t>CEP:</w:t>
      </w:r>
      <w:r w:rsidR="00C0078A" w:rsidRPr="00C0078A">
        <w:rPr>
          <w:sz w:val="20"/>
          <w:szCs w:val="20"/>
        </w:rPr>
        <w:t xml:space="preserve"> 59064-741</w:t>
      </w:r>
    </w:p>
    <w:p w:rsidR="00B86315" w:rsidRDefault="00B86315" w:rsidP="00B8631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C0078A" w:rsidRPr="00C0078A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C0078A" w:rsidRPr="00C0078A">
        <w:rPr>
          <w:sz w:val="20"/>
          <w:szCs w:val="20"/>
        </w:rPr>
        <w:t>(84) 3342-2336</w:t>
      </w:r>
    </w:p>
    <w:p w:rsidR="00B86315" w:rsidRDefault="00B86315" w:rsidP="00B8631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C0078A">
        <w:rPr>
          <w:b/>
          <w:sz w:val="20"/>
          <w:szCs w:val="20"/>
        </w:rPr>
        <w:t xml:space="preserve"> </w:t>
      </w:r>
      <w:hyperlink r:id="rId6" w:tgtFrame="_blank" w:history="1">
        <w:r w:rsidR="00C0078A" w:rsidRPr="00C0078A">
          <w:rPr>
            <w:sz w:val="20"/>
            <w:szCs w:val="20"/>
          </w:rPr>
          <w:t>dllemufrn@gmail.com</w:t>
        </w:r>
      </w:hyperlink>
    </w:p>
    <w:p w:rsidR="00B86315" w:rsidRDefault="00B86315" w:rsidP="00B86315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B86315" w:rsidRPr="00776320" w:rsidTr="00406E25">
        <w:tc>
          <w:tcPr>
            <w:tcW w:w="2943" w:type="dxa"/>
          </w:tcPr>
          <w:p w:rsidR="00B86315" w:rsidRPr="00776320" w:rsidRDefault="00B86315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B86315" w:rsidRPr="00776320" w:rsidRDefault="00A03552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86315" w:rsidRPr="00776320" w:rsidTr="00406E25">
        <w:tc>
          <w:tcPr>
            <w:tcW w:w="2943" w:type="dxa"/>
          </w:tcPr>
          <w:p w:rsidR="00B86315" w:rsidRPr="00776320" w:rsidRDefault="00B86315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B86315" w:rsidRDefault="00B86315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C0078A"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B86315" w:rsidRPr="00776320" w:rsidRDefault="00B86315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B86315" w:rsidRPr="00776320" w:rsidTr="00406E25">
        <w:tc>
          <w:tcPr>
            <w:tcW w:w="2943" w:type="dxa"/>
          </w:tcPr>
          <w:p w:rsidR="00B86315" w:rsidRPr="00776320" w:rsidRDefault="00B86315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B86315" w:rsidRPr="00A03552" w:rsidRDefault="00A03552" w:rsidP="00406E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03552">
              <w:rPr>
                <w:b/>
                <w:sz w:val="20"/>
                <w:szCs w:val="20"/>
              </w:rPr>
              <w:t>LÍNGUA ESPANHOLA E LITERATURAS</w:t>
            </w:r>
          </w:p>
        </w:tc>
      </w:tr>
    </w:tbl>
    <w:p w:rsidR="00B86315" w:rsidRDefault="00B86315" w:rsidP="00B86315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86315" w:rsidTr="00406E25">
        <w:tc>
          <w:tcPr>
            <w:tcW w:w="9514" w:type="dxa"/>
          </w:tcPr>
          <w:p w:rsidR="00B86315" w:rsidRDefault="00B86315" w:rsidP="00406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B86315" w:rsidTr="00406E25">
        <w:trPr>
          <w:trHeight w:val="1951"/>
        </w:trPr>
        <w:tc>
          <w:tcPr>
            <w:tcW w:w="9514" w:type="dxa"/>
          </w:tcPr>
          <w:p w:rsidR="00B86315" w:rsidRPr="00D730F3" w:rsidRDefault="00D730F3" w:rsidP="00406E25">
            <w:pPr>
              <w:rPr>
                <w:sz w:val="20"/>
                <w:szCs w:val="20"/>
              </w:rPr>
            </w:pPr>
            <w:proofErr w:type="spellStart"/>
            <w:r w:rsidRPr="00D730F3">
              <w:rPr>
                <w:sz w:val="20"/>
                <w:szCs w:val="20"/>
              </w:rPr>
              <w:t>Lexicología</w:t>
            </w:r>
            <w:proofErr w:type="spellEnd"/>
            <w:r w:rsidRPr="00D73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Morfosintaxis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C1CE4" w:rsidRPr="00D730F3">
              <w:rPr>
                <w:sz w:val="20"/>
                <w:szCs w:val="20"/>
              </w:rPr>
              <w:t xml:space="preserve"> </w:t>
            </w:r>
            <w:r w:rsidR="001C1CE4" w:rsidRPr="00D730F3">
              <w:rPr>
                <w:sz w:val="20"/>
                <w:szCs w:val="20"/>
                <w:lang w:val="es-ES"/>
              </w:rPr>
              <w:t>Interculturalidad en la enseñanza de español como leng</w:t>
            </w:r>
            <w:r>
              <w:rPr>
                <w:sz w:val="20"/>
                <w:szCs w:val="20"/>
                <w:lang w:val="es-ES"/>
              </w:rPr>
              <w:t>ua extranjera. Cultura hispánica.</w:t>
            </w:r>
            <w:r w:rsidRPr="00D730F3">
              <w:rPr>
                <w:sz w:val="20"/>
                <w:szCs w:val="20"/>
                <w:lang w:val="es-ES"/>
              </w:rPr>
              <w:t xml:space="preserve"> Habilidades de la l</w:t>
            </w:r>
            <w:r>
              <w:rPr>
                <w:sz w:val="20"/>
                <w:szCs w:val="20"/>
                <w:lang w:val="es-ES"/>
              </w:rPr>
              <w:t>engua.</w:t>
            </w:r>
            <w:r w:rsidRPr="00D730F3">
              <w:rPr>
                <w:sz w:val="20"/>
                <w:szCs w:val="20"/>
                <w:lang w:val="es-ES"/>
              </w:rPr>
              <w:t xml:space="preserve"> Contraste entre usos de los pretéritos del Modo</w:t>
            </w:r>
            <w:r>
              <w:rPr>
                <w:sz w:val="20"/>
                <w:szCs w:val="20"/>
                <w:lang w:val="es-ES"/>
              </w:rPr>
              <w:t xml:space="preserve"> Indicativo.</w:t>
            </w:r>
            <w:r w:rsidRPr="00D730F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Uso de los pronombre clíticos.</w:t>
            </w:r>
            <w:r w:rsidRPr="00D730F3">
              <w:rPr>
                <w:sz w:val="20"/>
                <w:szCs w:val="20"/>
                <w:lang w:val="es-ES"/>
              </w:rPr>
              <w:t xml:space="preserve"> Manifestaciones l</w:t>
            </w:r>
            <w:r>
              <w:rPr>
                <w:sz w:val="20"/>
                <w:szCs w:val="20"/>
                <w:lang w:val="es-ES"/>
              </w:rPr>
              <w:t xml:space="preserve">iterarias de culturas indígenas. </w:t>
            </w:r>
            <w:r w:rsidRPr="00D730F3">
              <w:rPr>
                <w:sz w:val="20"/>
                <w:szCs w:val="20"/>
              </w:rPr>
              <w:t xml:space="preserve">Barroco </w:t>
            </w:r>
            <w:proofErr w:type="spellStart"/>
            <w:r w:rsidRPr="00D730F3">
              <w:rPr>
                <w:sz w:val="20"/>
                <w:szCs w:val="20"/>
              </w:rPr>
              <w:t>hispanoamericano</w:t>
            </w:r>
            <w:proofErr w:type="spellEnd"/>
            <w:r w:rsidRPr="00D730F3">
              <w:rPr>
                <w:sz w:val="20"/>
                <w:szCs w:val="20"/>
              </w:rPr>
              <w:t xml:space="preserve">. </w:t>
            </w:r>
          </w:p>
          <w:p w:rsidR="00B86315" w:rsidRPr="00C0078A" w:rsidRDefault="00B86315" w:rsidP="00406E25">
            <w:pPr>
              <w:rPr>
                <w:b/>
                <w:caps/>
                <w:color w:val="FF0000"/>
                <w:sz w:val="20"/>
                <w:szCs w:val="20"/>
              </w:rPr>
            </w:pPr>
            <w:r w:rsidRPr="00D730F3">
              <w:rPr>
                <w:b/>
                <w:color w:val="FF0000"/>
                <w:sz w:val="20"/>
                <w:szCs w:val="20"/>
                <w:u w:val="single"/>
              </w:rPr>
              <w:t>OBS</w:t>
            </w:r>
            <w:r w:rsidRPr="00D730F3">
              <w:rPr>
                <w:b/>
                <w:color w:val="FF0000"/>
                <w:sz w:val="20"/>
                <w:szCs w:val="20"/>
              </w:rPr>
              <w:t>: APLICÁVEL NAS HIPÓTESES ESPECIFICADAS NO ART. 21</w:t>
            </w:r>
            <w:r w:rsidRPr="00D730F3">
              <w:rPr>
                <w:b/>
                <w:caps/>
                <w:color w:val="FF0000"/>
                <w:sz w:val="20"/>
                <w:szCs w:val="20"/>
              </w:rPr>
              <w:t>, PARÁGRAFO ÚNICO E ART. 22</w:t>
            </w:r>
            <w:r w:rsidR="00C0078A" w:rsidRPr="00D730F3">
              <w:rPr>
                <w:b/>
                <w:caps/>
                <w:color w:val="FF0000"/>
                <w:sz w:val="20"/>
                <w:szCs w:val="20"/>
              </w:rPr>
              <w:t>, somente se houver ma</w:t>
            </w:r>
            <w:r w:rsidR="00C0078A" w:rsidRPr="00D730F3">
              <w:rPr>
                <w:b/>
                <w:caps/>
                <w:color w:val="FF0000"/>
                <w:sz w:val="20"/>
                <w:szCs w:val="20"/>
                <w:lang w:val="es-ES"/>
              </w:rPr>
              <w:t xml:space="preserve">is de 12 candidatos </w:t>
            </w:r>
            <w:proofErr w:type="gramStart"/>
            <w:r w:rsidR="00C0078A" w:rsidRPr="00C0078A">
              <w:rPr>
                <w:b/>
                <w:caps/>
                <w:color w:val="FF0000"/>
                <w:sz w:val="20"/>
                <w:szCs w:val="20"/>
              </w:rPr>
              <w:t>inscritos</w:t>
            </w:r>
            <w:proofErr w:type="gramEnd"/>
          </w:p>
          <w:p w:rsidR="00B86315" w:rsidRDefault="00B86315" w:rsidP="00406E25">
            <w:pPr>
              <w:rPr>
                <w:b/>
                <w:sz w:val="20"/>
                <w:szCs w:val="20"/>
                <w:u w:val="single"/>
              </w:rPr>
            </w:pPr>
          </w:p>
          <w:p w:rsidR="00B86315" w:rsidRDefault="00B86315" w:rsidP="00406E2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86315" w:rsidRDefault="00B86315" w:rsidP="00B86315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86315" w:rsidTr="00406E25">
        <w:trPr>
          <w:trHeight w:val="212"/>
        </w:trPr>
        <w:tc>
          <w:tcPr>
            <w:tcW w:w="9514" w:type="dxa"/>
          </w:tcPr>
          <w:p w:rsidR="00B86315" w:rsidRDefault="00B86315" w:rsidP="00406E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86315" w:rsidRPr="00C0078A" w:rsidTr="00406E25">
        <w:trPr>
          <w:trHeight w:val="2278"/>
        </w:trPr>
        <w:tc>
          <w:tcPr>
            <w:tcW w:w="9514" w:type="dxa"/>
          </w:tcPr>
          <w:p w:rsidR="00C0078A" w:rsidRPr="00C0078A" w:rsidRDefault="00C0078A" w:rsidP="00C0078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360" w:lineRule="auto"/>
              <w:rPr>
                <w:sz w:val="20"/>
                <w:szCs w:val="20"/>
                <w:lang w:val="es-ES"/>
              </w:rPr>
            </w:pPr>
            <w:r w:rsidRPr="00C0078A">
              <w:rPr>
                <w:sz w:val="20"/>
                <w:szCs w:val="20"/>
                <w:lang w:val="es-ES"/>
              </w:rPr>
              <w:t>Interpretación del discurso escrito y análisis de textos auténticos en lengua española: español para fines específicos en periodismo</w:t>
            </w:r>
          </w:p>
          <w:p w:rsidR="00C0078A" w:rsidRPr="00C0078A" w:rsidRDefault="00C0078A" w:rsidP="00C0078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360" w:lineRule="auto"/>
              <w:rPr>
                <w:sz w:val="20"/>
                <w:szCs w:val="20"/>
                <w:lang w:val="es-ES"/>
              </w:rPr>
            </w:pPr>
            <w:r w:rsidRPr="00C0078A">
              <w:rPr>
                <w:sz w:val="20"/>
                <w:szCs w:val="20"/>
                <w:lang w:val="es-ES"/>
              </w:rPr>
              <w:t>El modernismo en la literatura hispánica</w:t>
            </w:r>
          </w:p>
          <w:p w:rsidR="00C0078A" w:rsidRPr="00C0078A" w:rsidRDefault="00C0078A" w:rsidP="00C0078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360" w:lineRule="auto"/>
              <w:rPr>
                <w:sz w:val="20"/>
                <w:szCs w:val="20"/>
                <w:lang w:val="es-ES"/>
              </w:rPr>
            </w:pPr>
            <w:r w:rsidRPr="00C0078A">
              <w:rPr>
                <w:sz w:val="20"/>
                <w:szCs w:val="20"/>
                <w:lang w:val="es-ES"/>
              </w:rPr>
              <w:t>Aspectos históricos de la lengua española: estudio de cambios lingüísticos en el nivel fónico</w:t>
            </w:r>
          </w:p>
          <w:p w:rsidR="00C0078A" w:rsidRPr="00C0078A" w:rsidRDefault="00C0078A" w:rsidP="00C0078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360" w:lineRule="auto"/>
              <w:rPr>
                <w:sz w:val="20"/>
                <w:szCs w:val="20"/>
                <w:lang w:val="es-ES"/>
              </w:rPr>
            </w:pPr>
            <w:r w:rsidRPr="00C0078A">
              <w:rPr>
                <w:sz w:val="20"/>
                <w:szCs w:val="20"/>
                <w:lang w:val="es-ES"/>
              </w:rPr>
              <w:t>Tópicos de morfosintaxis de la lengua española en la formación de profesores de ELE</w:t>
            </w:r>
          </w:p>
          <w:p w:rsidR="00C0078A" w:rsidRPr="00C0078A" w:rsidRDefault="00C0078A" w:rsidP="00C0078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360" w:lineRule="auto"/>
              <w:rPr>
                <w:sz w:val="20"/>
                <w:szCs w:val="20"/>
                <w:lang w:val="es-ES"/>
              </w:rPr>
            </w:pPr>
            <w:r w:rsidRPr="00C0078A">
              <w:rPr>
                <w:sz w:val="20"/>
                <w:szCs w:val="20"/>
                <w:lang w:val="es-ES"/>
              </w:rPr>
              <w:t>Formación de palabras en lengua española: aspectos históricos en el nivel léxico-semántico</w:t>
            </w:r>
          </w:p>
          <w:p w:rsidR="00C0078A" w:rsidRPr="00C0078A" w:rsidRDefault="00C0078A" w:rsidP="00C0078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360" w:lineRule="auto"/>
              <w:rPr>
                <w:sz w:val="20"/>
                <w:szCs w:val="20"/>
                <w:lang w:val="es-ES"/>
              </w:rPr>
            </w:pPr>
            <w:r w:rsidRPr="00C0078A">
              <w:rPr>
                <w:sz w:val="20"/>
                <w:szCs w:val="20"/>
                <w:lang w:val="es-ES"/>
              </w:rPr>
              <w:t>Arte y cultura contemporáneos de Hispanoamérica en las clases de lengua española</w:t>
            </w:r>
          </w:p>
          <w:p w:rsidR="00B86315" w:rsidRPr="00C0078A" w:rsidRDefault="00B86315" w:rsidP="00C0078A">
            <w:pPr>
              <w:spacing w:after="0"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B86315" w:rsidRPr="00C0078A" w:rsidRDefault="00B86315" w:rsidP="00B86315">
      <w:pPr>
        <w:pStyle w:val="Recuodecorpodetexto"/>
        <w:ind w:left="0"/>
        <w:jc w:val="center"/>
        <w:rPr>
          <w:b/>
          <w:sz w:val="20"/>
          <w:szCs w:val="20"/>
          <w:lang w:val="es-ES"/>
        </w:rPr>
      </w:pPr>
    </w:p>
    <w:p w:rsidR="00B86315" w:rsidRPr="00C0078A" w:rsidRDefault="00B86315" w:rsidP="00B86315">
      <w:pPr>
        <w:tabs>
          <w:tab w:val="left" w:pos="3274"/>
        </w:tabs>
        <w:jc w:val="center"/>
        <w:rPr>
          <w:lang w:val="es-ES"/>
        </w:rPr>
      </w:pPr>
    </w:p>
    <w:sectPr w:rsidR="00B86315" w:rsidRPr="00C0078A" w:rsidSect="00287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3B71"/>
    <w:multiLevelType w:val="hybridMultilevel"/>
    <w:tmpl w:val="2A6AA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6315"/>
    <w:rsid w:val="001C1CE4"/>
    <w:rsid w:val="00280AB3"/>
    <w:rsid w:val="002874B0"/>
    <w:rsid w:val="00612517"/>
    <w:rsid w:val="006B7B27"/>
    <w:rsid w:val="007A4DEF"/>
    <w:rsid w:val="007C010E"/>
    <w:rsid w:val="009523BC"/>
    <w:rsid w:val="00A03552"/>
    <w:rsid w:val="00B86315"/>
    <w:rsid w:val="00C0078A"/>
    <w:rsid w:val="00D730F3"/>
    <w:rsid w:val="00E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1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86315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8631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31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C007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078A"/>
    <w:pPr>
      <w:suppressAutoHyphens w:val="0"/>
      <w:spacing w:before="100" w:beforeAutospacing="1" w:after="100" w:afterAutospacing="1" w:line="240" w:lineRule="auto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0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lemufr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Dllem</dc:creator>
  <cp:lastModifiedBy>rodrigo</cp:lastModifiedBy>
  <cp:revision>2</cp:revision>
  <dcterms:created xsi:type="dcterms:W3CDTF">2019-11-28T17:06:00Z</dcterms:created>
  <dcterms:modified xsi:type="dcterms:W3CDTF">2019-11-28T17:06:00Z</dcterms:modified>
</cp:coreProperties>
</file>