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64E9" w:rsidRDefault="001D708A">
      <w:pPr>
        <w:tabs>
          <w:tab w:val="left" w:pos="3274"/>
        </w:tabs>
        <w:jc w:val="center"/>
        <w:rPr>
          <w:b/>
        </w:rPr>
      </w:pPr>
      <w:r>
        <w:rPr>
          <w:b/>
        </w:rPr>
        <w:t>ANEXO II</w:t>
      </w:r>
    </w:p>
    <w:p w:rsidR="00C664E9" w:rsidRDefault="00284FE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25pt;margin-top:6.35pt;width:44.85pt;height:62.85pt;z-index:251658240;mso-wrap-distance-top:0;mso-wrap-distance-bottom:0;mso-width-relative:page;mso-height-relative:page" filled="t">
            <v:fill color2="black"/>
            <v:imagedata r:id="rId5" o:title=""/>
            <w10:wrap type="topAndBottom"/>
          </v:shape>
          <o:OLEObject Type="Embed" ProgID="Figura" ShapeID="_x0000_s1026" DrawAspect="Content" ObjectID="_1636263130" r:id="rId6"/>
        </w:pict>
      </w:r>
    </w:p>
    <w:p w:rsidR="00C664E9" w:rsidRDefault="001D708A">
      <w:pPr>
        <w:jc w:val="center"/>
        <w:rPr>
          <w:b/>
        </w:rPr>
      </w:pPr>
      <w:r>
        <w:rPr>
          <w:b/>
        </w:rPr>
        <w:t>MINISTÉRIO DA EDUCAÇÃO</w:t>
      </w:r>
    </w:p>
    <w:p w:rsidR="00C664E9" w:rsidRDefault="001D708A">
      <w:pPr>
        <w:jc w:val="center"/>
        <w:rPr>
          <w:b/>
        </w:rPr>
      </w:pPr>
      <w:r>
        <w:rPr>
          <w:b/>
        </w:rPr>
        <w:t>UNIVERSIDADE FEDERAL DO RIO GRANDE DO NORTE</w:t>
      </w:r>
    </w:p>
    <w:p w:rsidR="00C664E9" w:rsidRDefault="00C664E9">
      <w:pPr>
        <w:jc w:val="both"/>
        <w:rPr>
          <w:b/>
        </w:rPr>
      </w:pPr>
    </w:p>
    <w:p w:rsidR="00C664E9" w:rsidRDefault="001D708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UNIDADE: Faculdade de Ciências da Saúde do Trairi - FACISA</w:t>
      </w:r>
    </w:p>
    <w:p w:rsidR="00C664E9" w:rsidRDefault="001D708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Endereço da Unidade: Avenida Rio Branco, 435, Centro, Santa Cruz/RN</w:t>
      </w:r>
    </w:p>
    <w:p w:rsidR="00C664E9" w:rsidRDefault="001D708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CEP: 59.200-000</w:t>
      </w:r>
    </w:p>
    <w:p w:rsidR="00C664E9" w:rsidRDefault="001D708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Fone: (84) 3342-2287 R- 210</w:t>
      </w:r>
    </w:p>
    <w:p w:rsidR="00C664E9" w:rsidRDefault="001D708A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E-mail: setordepessoal@facisa.ufrn.br</w:t>
      </w:r>
    </w:p>
    <w:p w:rsidR="00C664E9" w:rsidRDefault="00C664E9">
      <w:pPr>
        <w:jc w:val="both"/>
        <w:rPr>
          <w:b/>
        </w:rPr>
      </w:pPr>
    </w:p>
    <w:p w:rsidR="00C664E9" w:rsidRDefault="00C664E9">
      <w:pPr>
        <w:jc w:val="both"/>
        <w:rPr>
          <w:b/>
          <w:sz w:val="20"/>
          <w:szCs w:val="20"/>
        </w:rPr>
      </w:pPr>
    </w:p>
    <w:tbl>
      <w:tblPr>
        <w:tblStyle w:val="Style1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6521"/>
      </w:tblGrid>
      <w:tr w:rsidR="00C664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  <w:bookmarkStart w:id="0" w:name="_GoBack"/>
            <w:bookmarkEnd w:id="0"/>
          </w:p>
        </w:tc>
      </w:tr>
      <w:tr w:rsidR="00C664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X  ) MAGISTÉRIO SUPERIOR    (    ) MAGISTÉRIO EBTT</w:t>
            </w:r>
          </w:p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) PROFISSIONAL DE NÍVEL SUPERIOR ESPECIALIZADO</w:t>
            </w:r>
          </w:p>
        </w:tc>
      </w:tr>
      <w:tr w:rsidR="00C664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E9" w:rsidRDefault="001D708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t>NUTRIÇÃO CLÍNICA</w:t>
            </w:r>
          </w:p>
        </w:tc>
      </w:tr>
    </w:tbl>
    <w:p w:rsidR="00C664E9" w:rsidRDefault="00C664E9"/>
    <w:tbl>
      <w:tblPr>
        <w:tblW w:w="9066" w:type="dxa"/>
        <w:tblInd w:w="-15" w:type="dxa"/>
        <w:tblLayout w:type="fixed"/>
        <w:tblLook w:val="04A0"/>
      </w:tblPr>
      <w:tblGrid>
        <w:gridCol w:w="9066"/>
      </w:tblGrid>
      <w:tr w:rsidR="00C664E9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E9" w:rsidRDefault="001D708A">
            <w:pPr>
              <w:snapToGri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PROGRAMA</w:t>
            </w:r>
          </w:p>
        </w:tc>
      </w:tr>
      <w:tr w:rsidR="00C664E9">
        <w:trPr>
          <w:trHeight w:val="3121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E9" w:rsidRDefault="001D70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Fisiopatologia, condutas dietoterápicas e protocolos de atendimento terapêuticos visando atender aos distúrbios dos diferentes sistemas orgânicos. </w:t>
            </w:r>
          </w:p>
          <w:p w:rsidR="00C664E9" w:rsidRDefault="001D70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Avaliação, análise, planejamento, cálculo e orientação de dietas nas situações clínicas: obesidade, diabetes, dislipidemias, hipertensão arterial sistêmica, síndrome metabólica, doenças </w:t>
            </w:r>
            <w:proofErr w:type="spellStart"/>
            <w:r>
              <w:rPr>
                <w:color w:val="000000"/>
              </w:rPr>
              <w:t>osteoarticulares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gastroplastia</w:t>
            </w:r>
            <w:proofErr w:type="spellEnd"/>
            <w:r>
              <w:rPr>
                <w:color w:val="000000"/>
              </w:rPr>
              <w:t xml:space="preserve">, alterações gástricas e intestinais, doenças neurológicas, doenças renais, doenças hepáticas, imunodeficiências, alergias, doenças pulmonares, neoplasias, pré e pós-operatórios e queimados. </w:t>
            </w:r>
          </w:p>
          <w:p w:rsidR="00C664E9" w:rsidRDefault="001D70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Dietas hospitalares modificadas. </w:t>
            </w:r>
          </w:p>
          <w:p w:rsidR="00C664E9" w:rsidRDefault="001D70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Suporte de Nutrição Enteral e Parenteral. </w:t>
            </w:r>
          </w:p>
          <w:p w:rsidR="00C664E9" w:rsidRDefault="001D70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Avaliação e Educação Nutricional em Nutrição Clínica.</w:t>
            </w:r>
          </w:p>
          <w:p w:rsidR="004429F4" w:rsidRDefault="004429F4" w:rsidP="004429F4">
            <w:pPr>
              <w:rPr>
                <w:b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 CANDIDATOS INSCRITOS</w:t>
            </w:r>
          </w:p>
        </w:tc>
      </w:tr>
    </w:tbl>
    <w:p w:rsidR="00C664E9" w:rsidRDefault="00C664E9"/>
    <w:p w:rsidR="00C664E9" w:rsidRDefault="00C664E9">
      <w:pPr>
        <w:rPr>
          <w:b/>
        </w:rPr>
      </w:pPr>
    </w:p>
    <w:tbl>
      <w:tblPr>
        <w:tblW w:w="9066" w:type="dxa"/>
        <w:tblInd w:w="-15" w:type="dxa"/>
        <w:tblLayout w:type="fixed"/>
        <w:tblLook w:val="04A0"/>
      </w:tblPr>
      <w:tblGrid>
        <w:gridCol w:w="9066"/>
      </w:tblGrid>
      <w:tr w:rsidR="00C664E9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E9" w:rsidRDefault="001D708A">
            <w:pPr>
              <w:snapToGrid w:val="0"/>
              <w:spacing w:after="200" w:line="276" w:lineRule="auto"/>
              <w:rPr>
                <w:b/>
              </w:rPr>
            </w:pPr>
            <w:r>
              <w:rPr>
                <w:b/>
              </w:rPr>
              <w:t>RELAÇÃO DE TEMAS PARA A PROVA DIDÁTICA</w:t>
            </w:r>
          </w:p>
        </w:tc>
      </w:tr>
      <w:tr w:rsidR="00C664E9">
        <w:trPr>
          <w:trHeight w:val="3767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E9" w:rsidRDefault="001D708A">
            <w:pPr>
              <w:snapToGrid w:val="0"/>
              <w:spacing w:after="200" w:line="240" w:lineRule="auto"/>
              <w:rPr>
                <w:bCs/>
              </w:rPr>
            </w:pPr>
            <w:r>
              <w:rPr>
                <w:bCs/>
              </w:rPr>
              <w:lastRenderedPageBreak/>
              <w:t>1. Avaliação Nutricional e Educação alimentar e nutricional na perspectiva da nutrição clínica.</w:t>
            </w:r>
          </w:p>
          <w:p w:rsidR="00C664E9" w:rsidRDefault="001D708A">
            <w:pPr>
              <w:snapToGrid w:val="0"/>
              <w:spacing w:after="200" w:line="240" w:lineRule="auto"/>
              <w:rPr>
                <w:bCs/>
              </w:rPr>
            </w:pPr>
            <w:r>
              <w:rPr>
                <w:bCs/>
              </w:rPr>
              <w:t xml:space="preserve">2. Fisiopatologia e atenção dietoterápica em Doenças </w:t>
            </w:r>
            <w:proofErr w:type="spellStart"/>
            <w:r>
              <w:rPr>
                <w:bCs/>
              </w:rPr>
              <w:t>Hepatobiliares</w:t>
            </w:r>
            <w:proofErr w:type="spellEnd"/>
          </w:p>
          <w:p w:rsidR="00C664E9" w:rsidRDefault="001D708A">
            <w:pPr>
              <w:snapToGrid w:val="0"/>
              <w:spacing w:after="200" w:line="240" w:lineRule="auto"/>
              <w:rPr>
                <w:bCs/>
              </w:rPr>
            </w:pPr>
            <w:r>
              <w:rPr>
                <w:bCs/>
              </w:rPr>
              <w:t>3. Fisiopatologia e atenção dietoterápica em Diabetes Mellitus</w:t>
            </w:r>
          </w:p>
          <w:p w:rsidR="00C664E9" w:rsidRDefault="001D708A">
            <w:pPr>
              <w:snapToGrid w:val="0"/>
              <w:spacing w:after="200" w:line="240" w:lineRule="auto"/>
              <w:rPr>
                <w:bCs/>
              </w:rPr>
            </w:pPr>
            <w:r>
              <w:rPr>
                <w:bCs/>
              </w:rPr>
              <w:t>4. Fisiopatologia e atenção dietoterápica em Doenças Renais</w:t>
            </w:r>
          </w:p>
          <w:p w:rsidR="00C664E9" w:rsidRDefault="001D708A">
            <w:pPr>
              <w:snapToGrid w:val="0"/>
              <w:spacing w:after="200" w:line="240" w:lineRule="auto"/>
              <w:rPr>
                <w:bCs/>
              </w:rPr>
            </w:pPr>
            <w:r>
              <w:rPr>
                <w:bCs/>
              </w:rPr>
              <w:t>5. Condutas e sistematização do atendimento clinico nutricional em obesidade</w:t>
            </w:r>
          </w:p>
          <w:p w:rsidR="00C664E9" w:rsidRDefault="001D708A">
            <w:pPr>
              <w:snapToGrid w:val="0"/>
              <w:spacing w:after="20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 xml:space="preserve">6. </w:t>
            </w:r>
            <w:r>
              <w:rPr>
                <w:rFonts w:cs="Times New Roman"/>
                <w:bCs/>
                <w:color w:val="1D2228"/>
                <w:shd w:val="clear" w:color="auto" w:fill="FFFFFF"/>
              </w:rPr>
              <w:t xml:space="preserve">Dietas Hospitalares Modificadas e suas indicações </w:t>
            </w:r>
          </w:p>
        </w:tc>
      </w:tr>
    </w:tbl>
    <w:p w:rsidR="00C664E9" w:rsidRDefault="00C664E9"/>
    <w:p w:rsidR="00C664E9" w:rsidRDefault="00C664E9">
      <w:pPr>
        <w:spacing w:line="360" w:lineRule="auto"/>
        <w:rPr>
          <w:b/>
        </w:rPr>
      </w:pPr>
    </w:p>
    <w:p w:rsidR="00C664E9" w:rsidRDefault="001D708A">
      <w:pPr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Bibliografia</w:t>
      </w:r>
    </w:p>
    <w:p w:rsidR="00C664E9" w:rsidRDefault="001D708A">
      <w:pPr>
        <w:pStyle w:val="yiv2116275870msonormal"/>
        <w:jc w:val="both"/>
      </w:pPr>
      <w:r>
        <w:t xml:space="preserve">Brasil. Ministério da Saúde. Secretaria de Atenção à Saúde. Departamento de Atenção Especializada e Temática. Manual de terapia nutricional na atenção especializada hospitalar no âmbito do Sistema Único de Saúde – SUS [recurso eletrônico] / Ministério da Saúde, Secretaria de Atenção à Saúde, Departamento de Atenção Especializada e Temática. – Brasília: Ministério da Saúde, 2016. </w:t>
      </w:r>
    </w:p>
    <w:p w:rsidR="00C664E9" w:rsidRDefault="001D708A">
      <w:pPr>
        <w:pStyle w:val="yiv2116275870msonormal"/>
        <w:jc w:val="both"/>
        <w:rPr>
          <w:color w:val="000000"/>
        </w:rPr>
      </w:pPr>
      <w:r>
        <w:rPr>
          <w:color w:val="000000"/>
        </w:rPr>
        <w:t xml:space="preserve">CUPARRI, L. </w:t>
      </w:r>
      <w:r>
        <w:rPr>
          <w:b/>
          <w:color w:val="000000"/>
        </w:rPr>
        <w:t>Guia de nutriçã</w:t>
      </w:r>
      <w:r>
        <w:rPr>
          <w:color w:val="000000"/>
        </w:rPr>
        <w:t>o: clínica no adulto. 3 ed. Barueri: Manole, SP, 2014.</w:t>
      </w:r>
    </w:p>
    <w:p w:rsidR="00C664E9" w:rsidRDefault="001D708A">
      <w:pPr>
        <w:pStyle w:val="yiv2116275870msonormal"/>
        <w:jc w:val="both"/>
      </w:pPr>
      <w:r>
        <w:t xml:space="preserve">ESCOTT-STUMP, S. </w:t>
      </w:r>
      <w:r>
        <w:rPr>
          <w:b/>
          <w:bCs/>
        </w:rPr>
        <w:t>Nutrição - Relacionada ao Diagnóstico e Tratamento.</w:t>
      </w:r>
      <w:r>
        <w:t xml:space="preserve"> São Paulo: Manole, 6. ed. 2011.</w:t>
      </w:r>
    </w:p>
    <w:p w:rsidR="00C664E9" w:rsidRDefault="001D708A">
      <w:pPr>
        <w:pStyle w:val="yiv2116275870msonormal"/>
        <w:jc w:val="both"/>
      </w:pPr>
      <w:r>
        <w:t xml:space="preserve">MAHAN, L. K.; RAYMOND, J. L. </w:t>
      </w:r>
      <w:r>
        <w:rPr>
          <w:b/>
          <w:bCs/>
        </w:rPr>
        <w:t xml:space="preserve">Alimentos, Nutrição e </w:t>
      </w:r>
      <w:proofErr w:type="spellStart"/>
      <w:r>
        <w:rPr>
          <w:b/>
          <w:bCs/>
        </w:rPr>
        <w:t>Dietoterapia</w:t>
      </w:r>
      <w:proofErr w:type="spellEnd"/>
      <w:r>
        <w:rPr>
          <w:b/>
          <w:bCs/>
        </w:rPr>
        <w:t xml:space="preserve">. </w:t>
      </w:r>
      <w:r>
        <w:t xml:space="preserve">14ª ed. </w:t>
      </w:r>
      <w:proofErr w:type="spellStart"/>
      <w:r>
        <w:t>Elsevier</w:t>
      </w:r>
      <w:proofErr w:type="spellEnd"/>
      <w:r>
        <w:t>, 2018.</w:t>
      </w:r>
    </w:p>
    <w:p w:rsidR="00C664E9" w:rsidRDefault="001D708A">
      <w:pPr>
        <w:pStyle w:val="yiv2116275870msonormal"/>
        <w:jc w:val="both"/>
      </w:pPr>
      <w:r>
        <w:t xml:space="preserve">SAMPAIO, H. A.C. </w:t>
      </w:r>
      <w:r>
        <w:rPr>
          <w:b/>
          <w:bCs/>
        </w:rPr>
        <w:t>Nutrição em Doenças Crônicas.</w:t>
      </w:r>
      <w:r>
        <w:t xml:space="preserve"> São Paulo: Atheneu Editora, 2ª ed. 2014.</w:t>
      </w:r>
    </w:p>
    <w:p w:rsidR="00C664E9" w:rsidRDefault="001D708A">
      <w:pPr>
        <w:pStyle w:val="yiv2116275870msonormal"/>
        <w:jc w:val="both"/>
      </w:pPr>
      <w:r>
        <w:t xml:space="preserve">SHILS, M. E.; OLSON, J. A.; SHIKE, M. R. </w:t>
      </w:r>
      <w:r>
        <w:rPr>
          <w:b/>
          <w:bCs/>
        </w:rPr>
        <w:t>Tratado de Nutrição Moderna na Saúde e na Doença.</w:t>
      </w:r>
      <w:r>
        <w:t xml:space="preserve"> 11ª ed., V. 1 e 2, São Paulo: Ed. Manole, 2016.</w:t>
      </w:r>
    </w:p>
    <w:p w:rsidR="00C664E9" w:rsidRDefault="001D708A">
      <w:pPr>
        <w:pStyle w:val="yiv2116275870msonormal"/>
        <w:jc w:val="both"/>
      </w:pPr>
      <w:r>
        <w:t xml:space="preserve">SILVA, S. M. C. S.; MURA, J. D. P. </w:t>
      </w:r>
      <w:r>
        <w:rPr>
          <w:b/>
          <w:bCs/>
        </w:rPr>
        <w:t xml:space="preserve">Tratado de Alimentação, Nutrição e </w:t>
      </w:r>
      <w:proofErr w:type="spellStart"/>
      <w:r>
        <w:rPr>
          <w:b/>
          <w:bCs/>
        </w:rPr>
        <w:t>Dietoterapia</w:t>
      </w:r>
      <w:proofErr w:type="spellEnd"/>
      <w:r>
        <w:t xml:space="preserve">. São Paulo: </w:t>
      </w:r>
      <w:proofErr w:type="spellStart"/>
      <w:r>
        <w:t>Rocca</w:t>
      </w:r>
      <w:proofErr w:type="spellEnd"/>
      <w:r>
        <w:t>, 3ª ed. 2016.</w:t>
      </w:r>
    </w:p>
    <w:p w:rsidR="00C664E9" w:rsidRDefault="001D708A">
      <w:pPr>
        <w:pStyle w:val="yiv2116275870msonormal"/>
        <w:jc w:val="both"/>
      </w:pPr>
      <w:r>
        <w:t xml:space="preserve">BEVILACQUA, A.M.C.; CASTRO, S.F.; JANSEN, J.M. </w:t>
      </w:r>
      <w:r>
        <w:rPr>
          <w:b/>
        </w:rPr>
        <w:t>Fisiopatologia Clínica</w:t>
      </w:r>
      <w:r>
        <w:t>. São Paulo: Atheneu, 2002.</w:t>
      </w:r>
    </w:p>
    <w:p w:rsidR="00C664E9" w:rsidRDefault="001D708A">
      <w:pPr>
        <w:jc w:val="both"/>
      </w:pPr>
      <w:r>
        <w:t xml:space="preserve">GUYTON, A. C., HALL, J. E. </w:t>
      </w:r>
      <w:r>
        <w:rPr>
          <w:b/>
        </w:rPr>
        <w:t>Fisiologia Humana e Mecanismo das Doenças.</w:t>
      </w:r>
      <w:r>
        <w:t xml:space="preserve"> Rio de Janeiro: Guanabara Koogan, 1997</w:t>
      </w:r>
    </w:p>
    <w:p w:rsidR="00C664E9" w:rsidRDefault="00C664E9">
      <w:pPr>
        <w:jc w:val="both"/>
      </w:pPr>
    </w:p>
    <w:p w:rsidR="00C664E9" w:rsidRDefault="001D708A">
      <w:pPr>
        <w:jc w:val="both"/>
      </w:pPr>
      <w:r>
        <w:lastRenderedPageBreak/>
        <w:t xml:space="preserve">ROBBINS, S.L.; RAMAZI, S.; GOTRAN, </w:t>
      </w:r>
      <w:proofErr w:type="spellStart"/>
      <w:r>
        <w:t>Kumar</w:t>
      </w:r>
      <w:proofErr w:type="spellEnd"/>
      <w:r>
        <w:t xml:space="preserve"> V. </w:t>
      </w:r>
      <w:r>
        <w:rPr>
          <w:b/>
        </w:rPr>
        <w:t>Patologia Estrutural e Funcional.</w:t>
      </w:r>
      <w:r>
        <w:t xml:space="preserve"> 6. Ed. Rio de Janeiro, Guanabara Koogan, 2000.</w:t>
      </w:r>
    </w:p>
    <w:p w:rsidR="00C664E9" w:rsidRDefault="00C664E9">
      <w:pPr>
        <w:jc w:val="both"/>
      </w:pPr>
    </w:p>
    <w:p w:rsidR="00C664E9" w:rsidRDefault="001D708A">
      <w:pPr>
        <w:jc w:val="both"/>
      </w:pPr>
      <w:r>
        <w:t>FONSECA, A.L</w:t>
      </w:r>
      <w:r>
        <w:rPr>
          <w:b/>
        </w:rPr>
        <w:t>. Interações Medicamentosas</w:t>
      </w:r>
      <w:r>
        <w:t>. Rio de Janeiro: EPC, 2004.</w:t>
      </w:r>
    </w:p>
    <w:p w:rsidR="00C664E9" w:rsidRDefault="00C664E9">
      <w:pPr>
        <w:jc w:val="both"/>
      </w:pPr>
    </w:p>
    <w:p w:rsidR="00C664E9" w:rsidRDefault="001D708A">
      <w:pPr>
        <w:jc w:val="both"/>
      </w:pPr>
      <w:r>
        <w:t xml:space="preserve">GOODMAN, L. S.; GILMAN, A. G. </w:t>
      </w:r>
      <w:r>
        <w:rPr>
          <w:b/>
        </w:rPr>
        <w:t>As Bases Farmacológicas da Terapêutica</w:t>
      </w:r>
      <w:r>
        <w:t xml:space="preserve">. Rio de Janeiro: Mc </w:t>
      </w:r>
      <w:proofErr w:type="spellStart"/>
      <w:r>
        <w:t>Graw</w:t>
      </w:r>
      <w:proofErr w:type="spellEnd"/>
      <w:r>
        <w:t xml:space="preserve"> Hill,11ª edição, 2006.</w:t>
      </w:r>
    </w:p>
    <w:p w:rsidR="00C664E9" w:rsidRDefault="00C664E9">
      <w:pPr>
        <w:jc w:val="both"/>
      </w:pPr>
    </w:p>
    <w:p w:rsidR="00C664E9" w:rsidRDefault="001D708A">
      <w:pPr>
        <w:jc w:val="both"/>
      </w:pPr>
      <w:r>
        <w:t xml:space="preserve">KATZUNG, B. G. </w:t>
      </w:r>
      <w:r>
        <w:rPr>
          <w:b/>
        </w:rPr>
        <w:t>Farmacologia: Básica e Clínica.</w:t>
      </w:r>
      <w:r>
        <w:t xml:space="preserve"> Rio de Janeiro: Guanabara Koogan, 1994.</w:t>
      </w:r>
    </w:p>
    <w:p w:rsidR="00C664E9" w:rsidRDefault="00C664E9">
      <w:pPr>
        <w:jc w:val="both"/>
      </w:pPr>
    </w:p>
    <w:p w:rsidR="00C664E9" w:rsidRDefault="001D708A">
      <w:pPr>
        <w:jc w:val="both"/>
        <w:rPr>
          <w:b/>
        </w:rPr>
      </w:pPr>
      <w:r>
        <w:t xml:space="preserve">SILVA, P. </w:t>
      </w:r>
      <w:r>
        <w:rPr>
          <w:b/>
        </w:rPr>
        <w:t>Farmacologia.</w:t>
      </w:r>
      <w:r>
        <w:t xml:space="preserve"> Rio de Janeiro: Guanabara Koogan, 1994.</w:t>
      </w:r>
    </w:p>
    <w:p w:rsidR="00C664E9" w:rsidRDefault="00C664E9">
      <w:pPr>
        <w:spacing w:line="360" w:lineRule="auto"/>
        <w:rPr>
          <w:b/>
        </w:rPr>
      </w:pPr>
    </w:p>
    <w:p w:rsidR="00C664E9" w:rsidRDefault="00C664E9">
      <w:pPr>
        <w:pStyle w:val="Recuodecorpodetexto"/>
        <w:ind w:left="0"/>
      </w:pPr>
    </w:p>
    <w:p w:rsidR="00C664E9" w:rsidRDefault="00C664E9">
      <w:pPr>
        <w:pStyle w:val="Recuodecorpodetexto"/>
        <w:ind w:left="0"/>
      </w:pPr>
    </w:p>
    <w:p w:rsidR="00C664E9" w:rsidRDefault="00C664E9">
      <w:pPr>
        <w:pStyle w:val="Recuodecorpodetexto"/>
        <w:ind w:left="0"/>
      </w:pPr>
    </w:p>
    <w:p w:rsidR="00C664E9" w:rsidRDefault="00C664E9">
      <w:pPr>
        <w:pStyle w:val="Recuodecorpodetexto"/>
        <w:ind w:left="0"/>
      </w:pPr>
    </w:p>
    <w:p w:rsidR="00C664E9" w:rsidRDefault="00C664E9">
      <w:pPr>
        <w:pStyle w:val="Recuodecorpodetexto"/>
        <w:ind w:left="0"/>
      </w:pPr>
    </w:p>
    <w:p w:rsidR="00C664E9" w:rsidRDefault="00C664E9"/>
    <w:sectPr w:rsidR="00C664E9" w:rsidSect="00284FE3">
      <w:pgSz w:w="11905" w:h="16837"/>
      <w:pgMar w:top="1134" w:right="1287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E0E20"/>
    <w:rsid w:val="00046643"/>
    <w:rsid w:val="00061154"/>
    <w:rsid w:val="00131F35"/>
    <w:rsid w:val="00173068"/>
    <w:rsid w:val="001C15A6"/>
    <w:rsid w:val="001D708A"/>
    <w:rsid w:val="00206174"/>
    <w:rsid w:val="00284FE3"/>
    <w:rsid w:val="002E0E20"/>
    <w:rsid w:val="004429F4"/>
    <w:rsid w:val="0045398F"/>
    <w:rsid w:val="00706B53"/>
    <w:rsid w:val="00714E68"/>
    <w:rsid w:val="008320C2"/>
    <w:rsid w:val="008B61F8"/>
    <w:rsid w:val="009478BF"/>
    <w:rsid w:val="009763AB"/>
    <w:rsid w:val="009A10DB"/>
    <w:rsid w:val="00A53545"/>
    <w:rsid w:val="00A70888"/>
    <w:rsid w:val="00AC6E57"/>
    <w:rsid w:val="00C50346"/>
    <w:rsid w:val="00C664E9"/>
    <w:rsid w:val="00D8799F"/>
    <w:rsid w:val="00DC6011"/>
    <w:rsid w:val="00F13356"/>
    <w:rsid w:val="00FF0685"/>
    <w:rsid w:val="08293E74"/>
    <w:rsid w:val="6AA2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E3"/>
    <w:pPr>
      <w:suppressAutoHyphens/>
    </w:pPr>
    <w:rPr>
      <w:rFonts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284FE3"/>
    <w:rPr>
      <w:rFonts w:cs="Tahoma"/>
    </w:rPr>
  </w:style>
  <w:style w:type="paragraph" w:styleId="Corpodetexto">
    <w:name w:val="Body Text"/>
    <w:basedOn w:val="Normal"/>
    <w:rsid w:val="00284FE3"/>
    <w:pPr>
      <w:spacing w:after="120"/>
    </w:pPr>
  </w:style>
  <w:style w:type="paragraph" w:styleId="Pr-formataoHTML">
    <w:name w:val="HTML Preformatted"/>
    <w:basedOn w:val="Normal"/>
    <w:rsid w:val="00284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284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84FE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84FE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rsid w:val="00284FE3"/>
    <w:pPr>
      <w:ind w:left="5400"/>
      <w:jc w:val="both"/>
    </w:pPr>
    <w:rPr>
      <w:u w:val="single"/>
    </w:rPr>
  </w:style>
  <w:style w:type="character" w:customStyle="1" w:styleId="Absatz-Standardschriftart">
    <w:name w:val="Absatz-Standardschriftart"/>
    <w:qFormat/>
    <w:rsid w:val="00284FE3"/>
  </w:style>
  <w:style w:type="character" w:customStyle="1" w:styleId="WW-Absatz-Standardschriftart">
    <w:name w:val="WW-Absatz-Standardschriftart"/>
    <w:rsid w:val="00284FE3"/>
  </w:style>
  <w:style w:type="character" w:customStyle="1" w:styleId="WW8Num5z0">
    <w:name w:val="WW8Num5z0"/>
    <w:rsid w:val="00284FE3"/>
    <w:rPr>
      <w:rFonts w:ascii="Symbol" w:hAnsi="Symbol"/>
    </w:rPr>
  </w:style>
  <w:style w:type="character" w:customStyle="1" w:styleId="WW8Num6z0">
    <w:name w:val="WW8Num6z0"/>
    <w:rsid w:val="00284FE3"/>
    <w:rPr>
      <w:rFonts w:ascii="Symbol" w:hAnsi="Symbol"/>
    </w:rPr>
  </w:style>
  <w:style w:type="character" w:customStyle="1" w:styleId="WW8Num7z0">
    <w:name w:val="WW8Num7z0"/>
    <w:rsid w:val="00284FE3"/>
    <w:rPr>
      <w:rFonts w:ascii="Symbol" w:hAnsi="Symbol"/>
    </w:rPr>
  </w:style>
  <w:style w:type="character" w:customStyle="1" w:styleId="WW8Num8z0">
    <w:name w:val="WW8Num8z0"/>
    <w:rsid w:val="00284FE3"/>
    <w:rPr>
      <w:rFonts w:ascii="Symbol" w:hAnsi="Symbol"/>
    </w:rPr>
  </w:style>
  <w:style w:type="character" w:customStyle="1" w:styleId="WW8Num10z0">
    <w:name w:val="WW8Num10z0"/>
    <w:qFormat/>
    <w:rsid w:val="00284FE3"/>
    <w:rPr>
      <w:rFonts w:ascii="Symbol" w:hAnsi="Symbol"/>
    </w:rPr>
  </w:style>
  <w:style w:type="character" w:customStyle="1" w:styleId="Fontepargpadro1">
    <w:name w:val="Fonte parág. padrão1"/>
    <w:qFormat/>
    <w:rsid w:val="00284FE3"/>
  </w:style>
  <w:style w:type="character" w:customStyle="1" w:styleId="CharChar3">
    <w:name w:val="Char Char3"/>
    <w:rsid w:val="00284FE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CharChar2">
    <w:name w:val="Char Char2"/>
    <w:rsid w:val="00284FE3"/>
    <w:rPr>
      <w:rFonts w:ascii="Courier New" w:eastAsia="Times New Roman" w:hAnsi="Courier New" w:cs="Courier New"/>
      <w:sz w:val="24"/>
      <w:szCs w:val="24"/>
    </w:rPr>
  </w:style>
  <w:style w:type="character" w:customStyle="1" w:styleId="CharChar1">
    <w:name w:val="Char Char1"/>
    <w:rsid w:val="00284FE3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rsid w:val="00284FE3"/>
    <w:rPr>
      <w:rFonts w:ascii="Courier New" w:eastAsia="Times New Roman" w:hAnsi="Courier New" w:cs="Courier New"/>
      <w:sz w:val="20"/>
      <w:szCs w:val="20"/>
    </w:rPr>
  </w:style>
  <w:style w:type="paragraph" w:customStyle="1" w:styleId="Ttulo1">
    <w:name w:val="Título1"/>
    <w:basedOn w:val="Normal"/>
    <w:next w:val="Corpodetexto"/>
    <w:rsid w:val="00284F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284FE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84FE3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rsid w:val="00284FE3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284FE3"/>
    <w:pPr>
      <w:jc w:val="both"/>
    </w:pPr>
  </w:style>
  <w:style w:type="paragraph" w:customStyle="1" w:styleId="Default">
    <w:name w:val="Default"/>
    <w:rsid w:val="00284FE3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284FE3"/>
    <w:pPr>
      <w:suppressLineNumbers/>
    </w:pPr>
  </w:style>
  <w:style w:type="paragraph" w:customStyle="1" w:styleId="Ttulodetabela">
    <w:name w:val="Título de tabela"/>
    <w:basedOn w:val="Contedodetabela"/>
    <w:rsid w:val="00284FE3"/>
    <w:pPr>
      <w:jc w:val="center"/>
    </w:pPr>
    <w:rPr>
      <w:b/>
      <w:bCs/>
    </w:rPr>
  </w:style>
  <w:style w:type="paragraph" w:customStyle="1" w:styleId="yiv2116275870msonormal">
    <w:name w:val="yiv2116275870msonormal"/>
    <w:basedOn w:val="Normal"/>
    <w:qFormat/>
    <w:rsid w:val="00284FE3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TextodebaloChar">
    <w:name w:val="Texto de balão Char"/>
    <w:link w:val="Textodebalo"/>
    <w:rsid w:val="00284FE3"/>
    <w:rPr>
      <w:rFonts w:ascii="Segoe UI" w:hAnsi="Segoe UI" w:cs="Segoe UI"/>
      <w:sz w:val="18"/>
      <w:szCs w:val="18"/>
      <w:lang w:eastAsia="ar-SA"/>
    </w:rPr>
  </w:style>
  <w:style w:type="table" w:customStyle="1" w:styleId="Style12">
    <w:name w:val="_Style 12"/>
    <w:basedOn w:val="TableNormal"/>
    <w:qFormat/>
    <w:rsid w:val="00284FE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284F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DE PROVAS E TÍTULOS PARA O CARGO DE PROFESSOR 3º GRAU NAS CLASSES DE ASSISTENTE E ADJUNTO</vt:lpstr>
    </vt:vector>
  </TitlesOfParts>
  <Company>Hewlett-Packard Company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DE PROVAS E TÍTULOS PARA O CARGO DE PROFESSOR 3º GRAU NAS CLASSES DE ASSISTENTE E ADJUNTO</dc:title>
  <dc:creator>Direção CCSA</dc:creator>
  <cp:lastModifiedBy>gisellecarvalho</cp:lastModifiedBy>
  <cp:revision>3</cp:revision>
  <cp:lastPrinted>2009-10-30T18:32:00Z</cp:lastPrinted>
  <dcterms:created xsi:type="dcterms:W3CDTF">2019-11-25T11:42:00Z</dcterms:created>
  <dcterms:modified xsi:type="dcterms:W3CDTF">2019-11-26T11:45:00Z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1046-11.2.0.8341</vt:lpwstr>
  </property>
</Properties>
</file>