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4711B3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9D05C6" w:rsidP="009C508C">
            <w:pPr>
              <w:outlineLvl w:val="0"/>
              <w:rPr>
                <w:b/>
                <w:sz w:val="20"/>
                <w:szCs w:val="20"/>
              </w:rPr>
            </w:pPr>
            <w:r w:rsidRPr="009D05C6">
              <w:rPr>
                <w:b/>
                <w:sz w:val="20"/>
                <w:szCs w:val="20"/>
              </w:rPr>
              <w:t>MEDICINA DA FAMÍLIA E COMUNIDADE / ENSINO NA COMUNIDADE / VIVÊNCIA INTEGRADA NA COMUNIDADE / INTERNATO EM MEDICINA E RESIDÊNCIA 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Abordagem da hipertensão arterial sistêmica na atenção básica.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1B0615" w:rsidRPr="00F803AF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Abordagem da hipertensão arterial sistêmica na atenção básica.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E67DA3" w:rsidRPr="00074E27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A1229"/>
    <w:rsid w:val="002D3D44"/>
    <w:rsid w:val="00457BA0"/>
    <w:rsid w:val="004711B3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F5F0F"/>
    <w:rsid w:val="00C546AF"/>
    <w:rsid w:val="00D5432F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2019-10-21T13:41:00Z</dcterms:created>
  <dcterms:modified xsi:type="dcterms:W3CDTF">2019-10-25T15:36:00Z</dcterms:modified>
</cp:coreProperties>
</file>