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36" w:rsidRDefault="00432136" w:rsidP="00432136">
      <w:pPr>
        <w:tabs>
          <w:tab w:val="left" w:pos="3274"/>
        </w:tabs>
        <w:jc w:val="center"/>
        <w:rPr>
          <w:b/>
        </w:rPr>
      </w:pPr>
      <w:r>
        <w:rPr>
          <w:b/>
        </w:rPr>
        <w:t>ANEXO III DA RESOLUÇÃO N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038/2013-CONSEPE, de 19/03/2013.</w:t>
      </w:r>
    </w:p>
    <w:p w:rsidR="00432136" w:rsidRDefault="00432136" w:rsidP="00432136">
      <w:pPr>
        <w:tabs>
          <w:tab w:val="left" w:pos="3274"/>
        </w:tabs>
        <w:jc w:val="center"/>
        <w:rPr>
          <w:b/>
        </w:rPr>
      </w:pPr>
    </w:p>
    <w:p w:rsidR="00432136" w:rsidRDefault="00432136" w:rsidP="00432136">
      <w:pPr>
        <w:jc w:val="both"/>
        <w:rPr>
          <w:b/>
        </w:rPr>
      </w:pPr>
    </w:p>
    <w:p w:rsidR="00755D85" w:rsidRDefault="00755D85" w:rsidP="004321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CENTRO DE TECNOLOGIA</w:t>
      </w:r>
    </w:p>
    <w:p w:rsidR="00432136" w:rsidRPr="00D60DF5" w:rsidRDefault="00755D85" w:rsidP="004321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DEPARTAMENTO DE ENGENHARIA BIOMÉDICA</w:t>
      </w:r>
    </w:p>
    <w:p w:rsidR="00755D85" w:rsidRPr="00755D85" w:rsidRDefault="00755D85" w:rsidP="00755D85">
      <w:pPr>
        <w:jc w:val="both"/>
        <w:rPr>
          <w:b/>
          <w:sz w:val="20"/>
          <w:szCs w:val="20"/>
        </w:rPr>
      </w:pPr>
      <w:r w:rsidRPr="00755D85">
        <w:rPr>
          <w:b/>
          <w:sz w:val="20"/>
          <w:szCs w:val="20"/>
        </w:rPr>
        <w:t>Endereço: Campus Universitário- Lagoa Nova</w:t>
      </w:r>
    </w:p>
    <w:p w:rsidR="00755D85" w:rsidRDefault="00755D85" w:rsidP="00755D85">
      <w:pPr>
        <w:jc w:val="both"/>
        <w:rPr>
          <w:b/>
          <w:sz w:val="20"/>
          <w:szCs w:val="20"/>
        </w:rPr>
      </w:pPr>
      <w:r w:rsidRPr="00755D85">
        <w:rPr>
          <w:b/>
          <w:sz w:val="20"/>
          <w:szCs w:val="20"/>
        </w:rPr>
        <w:t>CEP: 59072-970 - Natal/RN</w:t>
      </w:r>
    </w:p>
    <w:p w:rsidR="00755D85" w:rsidRDefault="00755D85" w:rsidP="00755D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CTEC – SALA 301/302</w:t>
      </w:r>
    </w:p>
    <w:p w:rsidR="00432136" w:rsidRPr="00D60DF5" w:rsidRDefault="00432136" w:rsidP="00755D85">
      <w:pPr>
        <w:jc w:val="both"/>
        <w:rPr>
          <w:b/>
          <w:sz w:val="20"/>
          <w:szCs w:val="20"/>
        </w:rPr>
      </w:pPr>
      <w:r w:rsidRPr="00D60DF5">
        <w:rPr>
          <w:b/>
          <w:sz w:val="20"/>
          <w:szCs w:val="20"/>
        </w:rPr>
        <w:t>Fone:</w:t>
      </w:r>
      <w:r w:rsidR="00755D85">
        <w:rPr>
          <w:b/>
          <w:sz w:val="20"/>
          <w:szCs w:val="20"/>
        </w:rPr>
        <w:t xml:space="preserve"> (84) 99451-5697 / 99928-1101</w:t>
      </w:r>
    </w:p>
    <w:p w:rsidR="00432136" w:rsidRPr="00D60DF5" w:rsidRDefault="00432136" w:rsidP="00432136">
      <w:pPr>
        <w:jc w:val="both"/>
        <w:rPr>
          <w:b/>
          <w:sz w:val="20"/>
          <w:szCs w:val="20"/>
        </w:rPr>
      </w:pPr>
      <w:r w:rsidRPr="00D60DF5">
        <w:rPr>
          <w:b/>
          <w:sz w:val="20"/>
          <w:szCs w:val="20"/>
        </w:rPr>
        <w:t>E-mail:</w:t>
      </w:r>
      <w:r w:rsidR="00755D85">
        <w:rPr>
          <w:b/>
          <w:sz w:val="20"/>
          <w:szCs w:val="20"/>
        </w:rPr>
        <w:t xml:space="preserve"> mendes.luciana.a@gmail.com</w:t>
      </w:r>
    </w:p>
    <w:p w:rsidR="00432136" w:rsidRPr="00D60DF5" w:rsidRDefault="00432136" w:rsidP="00432136">
      <w:pPr>
        <w:jc w:val="both"/>
        <w:rPr>
          <w:b/>
          <w:sz w:val="20"/>
          <w:szCs w:val="20"/>
        </w:rPr>
      </w:pPr>
    </w:p>
    <w:p w:rsidR="00432136" w:rsidRPr="00D60DF5" w:rsidRDefault="00432136" w:rsidP="00432136">
      <w:pPr>
        <w:rPr>
          <w:sz w:val="20"/>
          <w:szCs w:val="20"/>
        </w:rPr>
      </w:pPr>
      <w:r>
        <w:rPr>
          <w:sz w:val="20"/>
          <w:szCs w:val="20"/>
        </w:rPr>
        <w:t>PROCESSO SELETIVO</w:t>
      </w:r>
      <w:r w:rsidRPr="00D60DF5">
        <w:rPr>
          <w:sz w:val="20"/>
          <w:szCs w:val="20"/>
        </w:rPr>
        <w:t xml:space="preserve"> DE PROVAS E TÍTULOS PARA </w:t>
      </w:r>
      <w:r>
        <w:rPr>
          <w:sz w:val="20"/>
          <w:szCs w:val="20"/>
        </w:rPr>
        <w:t>PROFESSOR SUBSTITUTO</w:t>
      </w:r>
    </w:p>
    <w:p w:rsidR="00432136" w:rsidRPr="00755D85" w:rsidRDefault="00432136" w:rsidP="00432136">
      <w:pPr>
        <w:rPr>
          <w:b/>
          <w:sz w:val="20"/>
          <w:szCs w:val="20"/>
        </w:rPr>
      </w:pPr>
      <w:r w:rsidRPr="00D60DF5">
        <w:rPr>
          <w:sz w:val="20"/>
          <w:szCs w:val="20"/>
        </w:rPr>
        <w:t xml:space="preserve">NA ÁREA DE </w:t>
      </w:r>
      <w:r w:rsidR="00755D85" w:rsidRPr="00755D85">
        <w:rPr>
          <w:b/>
          <w:sz w:val="20"/>
          <w:szCs w:val="20"/>
        </w:rPr>
        <w:t>BASES CINESIOLÓGICAS E BIOMECÂNICAS DO MOVIMENTO HUMANO / ENGENHARIA ASSISTIVA E ÓRTESE E PRÓTESE</w:t>
      </w:r>
    </w:p>
    <w:p w:rsidR="00432136" w:rsidRPr="00D60DF5" w:rsidRDefault="00432136" w:rsidP="00432136">
      <w:pPr>
        <w:jc w:val="both"/>
        <w:rPr>
          <w:b/>
          <w:sz w:val="20"/>
          <w:szCs w:val="20"/>
        </w:rPr>
      </w:pPr>
    </w:p>
    <w:p w:rsidR="00432136" w:rsidRPr="00D60DF5" w:rsidRDefault="00432136" w:rsidP="0043213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432136" w:rsidRPr="00D60DF5" w:rsidTr="001A17B0">
        <w:tc>
          <w:tcPr>
            <w:tcW w:w="9747" w:type="dxa"/>
          </w:tcPr>
          <w:p w:rsidR="00432136" w:rsidRPr="00D60DF5" w:rsidRDefault="00432136" w:rsidP="001A17B0">
            <w:pPr>
              <w:rPr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</w:p>
        </w:tc>
      </w:tr>
      <w:tr w:rsidR="00432136" w:rsidRPr="00D60DF5" w:rsidTr="00755D85">
        <w:trPr>
          <w:trHeight w:val="4862"/>
        </w:trPr>
        <w:tc>
          <w:tcPr>
            <w:tcW w:w="9747" w:type="dxa"/>
          </w:tcPr>
          <w:p w:rsidR="00432136" w:rsidRPr="00D60DF5" w:rsidRDefault="00755D85" w:rsidP="00755D85">
            <w:pPr>
              <w:spacing w:after="200"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t xml:space="preserve">Introdução ao estudo da </w:t>
            </w:r>
            <w:proofErr w:type="spellStart"/>
            <w:r>
              <w:t>Cinesiologia</w:t>
            </w:r>
            <w:proofErr w:type="spellEnd"/>
            <w:r>
              <w:t xml:space="preserve">. Terminologia básica dos movimentos. Termos anatômicos que descrevem o movimento. Sistemas de referências. Considerações esqueléticas sobre o movimento. Funções do sistema esquelético. Características biomecânicas do osso. Articulações. Considerações musculares sobre o movimento. Estrutura do músculo esquelético. Fisiologia da contração muscular. Fontes de energia para a contração muscular. Tipos de contração muscular. Respostas do músculo ao aumento/redução do uso. Unidade motora e controle do movimento. Componentes do controle motor. Biomecânica do movimento Humano. </w:t>
            </w:r>
            <w:proofErr w:type="gramStart"/>
            <w:r>
              <w:t>2.1 Estática</w:t>
            </w:r>
            <w:proofErr w:type="gramEnd"/>
            <w:r>
              <w:t xml:space="preserve"> vetorial. </w:t>
            </w:r>
            <w:proofErr w:type="gramStart"/>
            <w:r>
              <w:t>2.2 Cinemática</w:t>
            </w:r>
            <w:proofErr w:type="gramEnd"/>
            <w:r>
              <w:t xml:space="preserve"> vetorial. </w:t>
            </w:r>
            <w:proofErr w:type="gramStart"/>
            <w:r>
              <w:t>2.2 Cinética</w:t>
            </w:r>
            <w:proofErr w:type="gramEnd"/>
            <w:r>
              <w:t xml:space="preserve"> vetorial (dinâmica). Cinética vetorial aplicado ao movimento humano. Sistema de medições de força e movimentos usados na análise. Biomecânica. Instrumentação biomecânica, </w:t>
            </w:r>
            <w:proofErr w:type="spellStart"/>
            <w:r>
              <w:t>cinemetria</w:t>
            </w:r>
            <w:proofErr w:type="spellEnd"/>
            <w:r>
              <w:t>. Considerações esqueléticas sobre o movimento humano. Órteses e próteses</w:t>
            </w:r>
          </w:p>
        </w:tc>
      </w:tr>
    </w:tbl>
    <w:p w:rsidR="00432136" w:rsidRPr="00D60DF5" w:rsidRDefault="00432136" w:rsidP="0043213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432136" w:rsidRPr="00D60DF5" w:rsidTr="001A17B0">
        <w:trPr>
          <w:trHeight w:val="212"/>
        </w:trPr>
        <w:tc>
          <w:tcPr>
            <w:tcW w:w="9747" w:type="dxa"/>
          </w:tcPr>
          <w:p w:rsidR="00432136" w:rsidRPr="00D60DF5" w:rsidRDefault="00432136" w:rsidP="001A17B0">
            <w:pPr>
              <w:rPr>
                <w:b/>
                <w:sz w:val="20"/>
                <w:szCs w:val="20"/>
                <w:u w:val="single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432136" w:rsidRPr="00D60DF5" w:rsidTr="00755D85">
        <w:trPr>
          <w:trHeight w:val="2912"/>
        </w:trPr>
        <w:tc>
          <w:tcPr>
            <w:tcW w:w="9747" w:type="dxa"/>
          </w:tcPr>
          <w:p w:rsidR="00432136" w:rsidRDefault="00432136" w:rsidP="001A17B0">
            <w:pPr>
              <w:spacing w:line="276" w:lineRule="auto"/>
              <w:rPr>
                <w:sz w:val="20"/>
                <w:szCs w:val="20"/>
              </w:rPr>
            </w:pPr>
          </w:p>
          <w:p w:rsidR="00755D85" w:rsidRDefault="00755D85" w:rsidP="001A17B0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32136" w:rsidRDefault="00432136" w:rsidP="001A17B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55D85">
              <w:t xml:space="preserve"> </w:t>
            </w:r>
            <w:r w:rsidR="00755D85" w:rsidRPr="00755D85">
              <w:rPr>
                <w:sz w:val="20"/>
                <w:szCs w:val="20"/>
              </w:rPr>
              <w:t>Articulações.</w:t>
            </w:r>
          </w:p>
          <w:p w:rsidR="00432136" w:rsidRDefault="00432136" w:rsidP="001A17B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55D85">
              <w:t xml:space="preserve"> </w:t>
            </w:r>
            <w:r w:rsidR="00755D85" w:rsidRPr="00755D85">
              <w:rPr>
                <w:sz w:val="20"/>
                <w:szCs w:val="20"/>
              </w:rPr>
              <w:t>Considerações musculares sobre o movimento</w:t>
            </w:r>
          </w:p>
          <w:p w:rsidR="00432136" w:rsidRDefault="00432136" w:rsidP="001A17B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55D85">
              <w:t xml:space="preserve"> </w:t>
            </w:r>
            <w:r w:rsidR="00755D85" w:rsidRPr="00755D85">
              <w:rPr>
                <w:sz w:val="20"/>
                <w:szCs w:val="20"/>
              </w:rPr>
              <w:t>Fisiologia da contração e Resposta muscular ao aumento/redução do uso</w:t>
            </w:r>
          </w:p>
          <w:p w:rsidR="00432136" w:rsidRDefault="00432136" w:rsidP="001A17B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55D85">
              <w:t xml:space="preserve"> </w:t>
            </w:r>
            <w:r w:rsidR="00755D85" w:rsidRPr="00755D85">
              <w:rPr>
                <w:sz w:val="20"/>
                <w:szCs w:val="20"/>
              </w:rPr>
              <w:t>Fontes de energia para a contração muscular</w:t>
            </w:r>
          </w:p>
          <w:p w:rsidR="00755D85" w:rsidRDefault="00432136" w:rsidP="00755D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755D85">
              <w:t xml:space="preserve"> </w:t>
            </w:r>
            <w:r w:rsidR="00755D85" w:rsidRPr="00755D85">
              <w:rPr>
                <w:sz w:val="20"/>
                <w:szCs w:val="20"/>
              </w:rPr>
              <w:t>Es</w:t>
            </w:r>
            <w:r w:rsidR="00755D85">
              <w:rPr>
                <w:sz w:val="20"/>
                <w:szCs w:val="20"/>
              </w:rPr>
              <w:t>trutura do músculo esquelético.</w:t>
            </w:r>
          </w:p>
          <w:p w:rsidR="00432136" w:rsidRPr="00D60DF5" w:rsidRDefault="00432136" w:rsidP="00755D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755D85">
              <w:t xml:space="preserve"> </w:t>
            </w:r>
            <w:proofErr w:type="gramStart"/>
            <w:r w:rsidR="00755D85" w:rsidRPr="00755D85">
              <w:rPr>
                <w:sz w:val="20"/>
                <w:szCs w:val="20"/>
              </w:rPr>
              <w:t>Próteses/Órteses – Membros superior e inferior</w:t>
            </w:r>
            <w:proofErr w:type="gramEnd"/>
          </w:p>
        </w:tc>
      </w:tr>
    </w:tbl>
    <w:p w:rsidR="00432136" w:rsidRDefault="00432136" w:rsidP="00432136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432136" w:rsidRDefault="00432136" w:rsidP="00432136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755D85" w:rsidRDefault="00755D85" w:rsidP="00432136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755D85" w:rsidRDefault="00755D85" w:rsidP="00432136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755D85" w:rsidRDefault="00755D85" w:rsidP="00432136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755D85" w:rsidRDefault="00755D85" w:rsidP="00432136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755D85" w:rsidRDefault="00755D85" w:rsidP="00432136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755D85" w:rsidRDefault="00755D85" w:rsidP="00432136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755D85" w:rsidRDefault="00755D85" w:rsidP="00432136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755D85" w:rsidRDefault="00755D85" w:rsidP="00432136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755D85" w:rsidRDefault="00755D85" w:rsidP="00432136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755D85" w:rsidRDefault="00755D85" w:rsidP="00432136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755D85" w:rsidRPr="00D60DF5" w:rsidRDefault="00755D85" w:rsidP="00432136">
      <w:pPr>
        <w:pStyle w:val="Recuodecorpodetexto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432136" w:rsidRPr="00D60DF5" w:rsidTr="001A17B0">
        <w:trPr>
          <w:trHeight w:val="262"/>
        </w:trPr>
        <w:tc>
          <w:tcPr>
            <w:tcW w:w="9747" w:type="dxa"/>
          </w:tcPr>
          <w:p w:rsidR="00432136" w:rsidRPr="00D60DF5" w:rsidRDefault="00432136" w:rsidP="001A17B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BIBLIOGRAFIA</w:t>
            </w:r>
          </w:p>
        </w:tc>
      </w:tr>
      <w:tr w:rsidR="00432136" w:rsidRPr="00D60DF5" w:rsidTr="001A17B0">
        <w:trPr>
          <w:trHeight w:val="2480"/>
        </w:trPr>
        <w:tc>
          <w:tcPr>
            <w:tcW w:w="9747" w:type="dxa"/>
          </w:tcPr>
          <w:p w:rsidR="00755D85" w:rsidRPr="00755D85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755D85">
              <w:rPr>
                <w:sz w:val="20"/>
                <w:szCs w:val="20"/>
              </w:rPr>
              <w:t xml:space="preserve">HAMILL, Joseph; KNUTZEN, Kathleen M. Bases biomecânicas do movimento humano. 3. </w:t>
            </w:r>
            <w:proofErr w:type="gramStart"/>
            <w:r w:rsidRPr="00755D85">
              <w:rPr>
                <w:sz w:val="20"/>
                <w:szCs w:val="20"/>
              </w:rPr>
              <w:t>ed.</w:t>
            </w:r>
            <w:proofErr w:type="gramEnd"/>
          </w:p>
          <w:p w:rsidR="00755D85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755D85">
              <w:rPr>
                <w:sz w:val="20"/>
                <w:szCs w:val="20"/>
              </w:rPr>
              <w:t>São Paulo: Manole, 2012. xi, 516 p. ISBN: 9788520431559.</w:t>
            </w:r>
          </w:p>
          <w:p w:rsidR="00755D85" w:rsidRPr="00755D85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  <w:p w:rsidR="00755D85" w:rsidRPr="00755D85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755D85">
              <w:rPr>
                <w:sz w:val="20"/>
                <w:szCs w:val="20"/>
              </w:rPr>
              <w:t xml:space="preserve">HIBBELER, R. C. Dinâmica: mecânica para engenharia. 12. </w:t>
            </w:r>
            <w:proofErr w:type="gramStart"/>
            <w:r w:rsidRPr="00755D85">
              <w:rPr>
                <w:sz w:val="20"/>
                <w:szCs w:val="20"/>
              </w:rPr>
              <w:t>ed.</w:t>
            </w:r>
            <w:proofErr w:type="gramEnd"/>
            <w:r w:rsidRPr="00755D85">
              <w:rPr>
                <w:sz w:val="20"/>
                <w:szCs w:val="20"/>
              </w:rPr>
              <w:t xml:space="preserve"> São Paulo: Pearson Prentice</w:t>
            </w:r>
          </w:p>
          <w:p w:rsidR="00755D85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755D85">
              <w:rPr>
                <w:sz w:val="20"/>
                <w:szCs w:val="20"/>
              </w:rPr>
              <w:t>Hall, 2011. xiv, 591 p. ISBN: 9788576058144.</w:t>
            </w:r>
          </w:p>
          <w:p w:rsidR="00755D85" w:rsidRPr="00755D85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  <w:p w:rsidR="00755D85" w:rsidRPr="00124E38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  <w:r w:rsidRPr="00755D85">
              <w:rPr>
                <w:sz w:val="20"/>
                <w:szCs w:val="20"/>
              </w:rPr>
              <w:t xml:space="preserve">HIBBELER, R. C. Estática: mecânica para engenharia. 12. </w:t>
            </w:r>
            <w:proofErr w:type="gramStart"/>
            <w:r w:rsidRPr="00755D85">
              <w:rPr>
                <w:sz w:val="20"/>
                <w:szCs w:val="20"/>
              </w:rPr>
              <w:t>ed.</w:t>
            </w:r>
            <w:proofErr w:type="gramEnd"/>
            <w:r w:rsidRPr="00755D85">
              <w:rPr>
                <w:sz w:val="20"/>
                <w:szCs w:val="20"/>
              </w:rPr>
              <w:t xml:space="preserve"> São Paulo: Pearson, c2011. </w:t>
            </w:r>
            <w:r w:rsidRPr="00124E38">
              <w:rPr>
                <w:sz w:val="20"/>
                <w:szCs w:val="20"/>
                <w:lang w:val="en-US"/>
              </w:rPr>
              <w:t>512</w:t>
            </w:r>
          </w:p>
          <w:p w:rsidR="00755D85" w:rsidRPr="00124E38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  <w:r w:rsidRPr="00124E38">
              <w:rPr>
                <w:sz w:val="20"/>
                <w:szCs w:val="20"/>
                <w:lang w:val="en-US"/>
              </w:rPr>
              <w:t>p. ISBN: 9788576058151.</w:t>
            </w:r>
          </w:p>
          <w:p w:rsidR="00755D85" w:rsidRPr="00124E38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</w:p>
          <w:p w:rsidR="00755D85" w:rsidRPr="00124E38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  <w:r w:rsidRPr="00124E38">
              <w:rPr>
                <w:sz w:val="20"/>
                <w:szCs w:val="20"/>
                <w:lang w:val="en-US"/>
              </w:rPr>
              <w:t>SEYMOUR, Ron. Prosthetics and orthotics: lower limb and spinal. Philadelphia: Lippincott</w:t>
            </w:r>
          </w:p>
          <w:p w:rsidR="00755D85" w:rsidRPr="00124E38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  <w:r w:rsidRPr="00124E38">
              <w:rPr>
                <w:sz w:val="20"/>
                <w:szCs w:val="20"/>
                <w:lang w:val="en-US"/>
              </w:rPr>
              <w:t>Williams &amp; Wilkins, c2002. xiv, 485 p. ISBN: 9780781728546.</w:t>
            </w:r>
          </w:p>
          <w:p w:rsidR="00755D85" w:rsidRPr="00124E38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</w:p>
          <w:p w:rsidR="00755D85" w:rsidRPr="00755D85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755D85">
              <w:rPr>
                <w:sz w:val="20"/>
                <w:szCs w:val="20"/>
              </w:rPr>
              <w:t>BIANCHINI, Marco Aurélio. O passo-a-passo cirúrgico na implantodontia: da instalação à</w:t>
            </w:r>
          </w:p>
          <w:p w:rsidR="00755D85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755D85">
              <w:rPr>
                <w:sz w:val="20"/>
                <w:szCs w:val="20"/>
              </w:rPr>
              <w:t>prótese</w:t>
            </w:r>
            <w:proofErr w:type="gramEnd"/>
            <w:r w:rsidRPr="00755D85">
              <w:rPr>
                <w:sz w:val="20"/>
                <w:szCs w:val="20"/>
              </w:rPr>
              <w:t xml:space="preserve">. 1. </w:t>
            </w:r>
            <w:proofErr w:type="gramStart"/>
            <w:r w:rsidRPr="00755D85">
              <w:rPr>
                <w:sz w:val="20"/>
                <w:szCs w:val="20"/>
              </w:rPr>
              <w:t>ed.</w:t>
            </w:r>
            <w:proofErr w:type="gramEnd"/>
            <w:r w:rsidRPr="00755D85">
              <w:rPr>
                <w:sz w:val="20"/>
                <w:szCs w:val="20"/>
              </w:rPr>
              <w:t xml:space="preserve"> São Paulo: Santos, 2008. xxii, 364 p. ISBN: 9788572886673.</w:t>
            </w:r>
          </w:p>
          <w:p w:rsidR="00755D85" w:rsidRPr="00755D85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  <w:p w:rsidR="00755D85" w:rsidRPr="00755D85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755D85">
              <w:rPr>
                <w:sz w:val="20"/>
                <w:szCs w:val="20"/>
              </w:rPr>
              <w:t>ROCHA, Paulo Vicente. Todos os passos da prótese sobre implante: do planejamento ao</w:t>
            </w:r>
          </w:p>
          <w:p w:rsidR="00432136" w:rsidRPr="00D60DF5" w:rsidRDefault="00755D85" w:rsidP="00755D85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755D85">
              <w:rPr>
                <w:sz w:val="20"/>
                <w:szCs w:val="20"/>
              </w:rPr>
              <w:t>controle</w:t>
            </w:r>
            <w:proofErr w:type="gramEnd"/>
            <w:r w:rsidRPr="00755D85">
              <w:rPr>
                <w:sz w:val="20"/>
                <w:szCs w:val="20"/>
              </w:rPr>
              <w:t xml:space="preserve"> posterior. </w:t>
            </w:r>
            <w:proofErr w:type="gramStart"/>
            <w:r w:rsidRPr="00755D85">
              <w:rPr>
                <w:sz w:val="20"/>
                <w:szCs w:val="20"/>
              </w:rPr>
              <w:t>1.</w:t>
            </w:r>
            <w:proofErr w:type="gramEnd"/>
            <w:r w:rsidRPr="00755D85">
              <w:rPr>
                <w:sz w:val="20"/>
                <w:szCs w:val="20"/>
              </w:rPr>
              <w:t>ed. Nova Odessa, SP: Napoleão, 2012. 520. ISBN: 9788560842384.</w:t>
            </w:r>
          </w:p>
        </w:tc>
      </w:tr>
    </w:tbl>
    <w:p w:rsidR="005F2CA0" w:rsidRDefault="005F2CA0"/>
    <w:sectPr w:rsidR="005F2CA0" w:rsidSect="005F2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136"/>
    <w:rsid w:val="00124E38"/>
    <w:rsid w:val="00432136"/>
    <w:rsid w:val="005946EB"/>
    <w:rsid w:val="005F2CA0"/>
    <w:rsid w:val="006A6CA9"/>
    <w:rsid w:val="00755D85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432136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32136"/>
    <w:rPr>
      <w:rFonts w:ascii="Times New Roman" w:eastAsia="Times New Roman" w:hAnsi="Times New Roman" w:cs="Times New Roman"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Rodrigo</cp:lastModifiedBy>
  <cp:revision>2</cp:revision>
  <dcterms:created xsi:type="dcterms:W3CDTF">2017-11-20T14:33:00Z</dcterms:created>
  <dcterms:modified xsi:type="dcterms:W3CDTF">2017-11-20T14:33:00Z</dcterms:modified>
</cp:coreProperties>
</file>