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6B" w:rsidRPr="009F42ED" w:rsidRDefault="0044476B" w:rsidP="0044476B">
      <w:pPr>
        <w:ind w:left="0" w:firstLine="0"/>
        <w:jc w:val="center"/>
        <w:rPr>
          <w:b/>
          <w:sz w:val="24"/>
        </w:rPr>
      </w:pPr>
      <w:r w:rsidRPr="009F42E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1.4pt;width:47.85pt;height:62.9pt;z-index:251659264">
            <v:imagedata r:id="rId6" o:title="" gain="74473f" blacklevel="5898f"/>
            <w10:wrap type="topAndBottom"/>
          </v:shape>
          <o:OLEObject Type="Embed" ProgID="MSPhotoEd.3" ShapeID="_x0000_s1026" DrawAspect="Content" ObjectID="_1512216077" r:id="rId7"/>
        </w:pict>
      </w:r>
      <w:r w:rsidRPr="009F42ED">
        <w:rPr>
          <w:b/>
          <w:sz w:val="24"/>
        </w:rPr>
        <w:t>MINISTÉRIO DA EDUCAÇÃO</w:t>
      </w:r>
      <w:r>
        <w:rPr>
          <w:b/>
          <w:sz w:val="24"/>
        </w:rPr>
        <w:t xml:space="preserve">         </w:t>
      </w:r>
    </w:p>
    <w:p w:rsidR="0044476B" w:rsidRPr="009F42ED" w:rsidRDefault="0044476B" w:rsidP="0044476B">
      <w:pPr>
        <w:ind w:left="0" w:firstLine="0"/>
        <w:jc w:val="center"/>
        <w:rPr>
          <w:b/>
          <w:sz w:val="24"/>
        </w:rPr>
      </w:pPr>
      <w:r w:rsidRPr="009F42ED">
        <w:rPr>
          <w:b/>
          <w:sz w:val="24"/>
        </w:rPr>
        <w:t>UNIVERSIDADE FEDERAL DO RIO GRANDE DO NORTE</w:t>
      </w:r>
    </w:p>
    <w:p w:rsidR="0044476B" w:rsidRPr="00954EF3" w:rsidRDefault="0044476B" w:rsidP="0044476B">
      <w:pPr>
        <w:ind w:left="0" w:firstLine="0"/>
        <w:jc w:val="center"/>
        <w:rPr>
          <w:b/>
          <w:sz w:val="24"/>
        </w:rPr>
      </w:pPr>
      <w:r w:rsidRPr="00954EF3">
        <w:rPr>
          <w:b/>
          <w:sz w:val="24"/>
        </w:rPr>
        <w:t>PRÓ-REITORIA DE GESTÃO DE PESSOAS</w:t>
      </w:r>
    </w:p>
    <w:p w:rsidR="0044476B" w:rsidRDefault="0044476B" w:rsidP="0044476B">
      <w:pPr>
        <w:ind w:left="-936"/>
        <w:jc w:val="center"/>
        <w:rPr>
          <w:b/>
          <w:sz w:val="24"/>
        </w:rPr>
      </w:pPr>
    </w:p>
    <w:p w:rsidR="0044476B" w:rsidRPr="002E2012" w:rsidRDefault="0044476B" w:rsidP="0044476B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>DEPARTAMENTO DE ARTES</w:t>
      </w:r>
    </w:p>
    <w:p w:rsidR="0044476B" w:rsidRPr="002E2012" w:rsidRDefault="0044476B" w:rsidP="0044476B">
      <w:pPr>
        <w:pStyle w:val="Rodap"/>
        <w:ind w:right="360"/>
        <w:jc w:val="both"/>
        <w:rPr>
          <w:sz w:val="20"/>
          <w:szCs w:val="20"/>
        </w:rPr>
      </w:pPr>
      <w:r w:rsidRPr="002E2012">
        <w:rPr>
          <w:b/>
          <w:sz w:val="20"/>
          <w:szCs w:val="20"/>
        </w:rPr>
        <w:t xml:space="preserve">Endereço: </w:t>
      </w:r>
      <w:r w:rsidRPr="002E2012">
        <w:rPr>
          <w:sz w:val="20"/>
          <w:szCs w:val="20"/>
        </w:rPr>
        <w:t>Av. Senador Salgado Filho, 3000 – Campus Universitário - Natal-RN</w:t>
      </w:r>
    </w:p>
    <w:p w:rsidR="0044476B" w:rsidRPr="002E2012" w:rsidRDefault="0044476B" w:rsidP="0044476B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CEP: </w:t>
      </w:r>
      <w:r w:rsidRPr="002E2012">
        <w:rPr>
          <w:sz w:val="20"/>
          <w:szCs w:val="20"/>
        </w:rPr>
        <w:t>59.078-900</w:t>
      </w:r>
    </w:p>
    <w:p w:rsidR="0044476B" w:rsidRPr="002E2012" w:rsidRDefault="0044476B" w:rsidP="0044476B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Fone: </w:t>
      </w:r>
      <w:r w:rsidRPr="002E2012">
        <w:rPr>
          <w:sz w:val="20"/>
          <w:szCs w:val="20"/>
        </w:rPr>
        <w:t>(84) 3215-3550</w:t>
      </w:r>
    </w:p>
    <w:p w:rsidR="0044476B" w:rsidRPr="002E2012" w:rsidRDefault="0044476B" w:rsidP="0044476B">
      <w:pPr>
        <w:rPr>
          <w:b/>
          <w:sz w:val="20"/>
          <w:szCs w:val="20"/>
        </w:rPr>
      </w:pPr>
      <w:r w:rsidRPr="002E2012">
        <w:rPr>
          <w:b/>
          <w:sz w:val="20"/>
          <w:szCs w:val="20"/>
        </w:rPr>
        <w:t xml:space="preserve">E-mail: </w:t>
      </w:r>
      <w:r w:rsidRPr="002E2012">
        <w:rPr>
          <w:sz w:val="20"/>
          <w:szCs w:val="20"/>
        </w:rPr>
        <w:t>dep.artes.ufrn@gmail.com</w:t>
      </w:r>
    </w:p>
    <w:p w:rsidR="0044476B" w:rsidRPr="00730C32" w:rsidRDefault="0044476B" w:rsidP="0044476B">
      <w:pPr>
        <w:ind w:left="-936"/>
        <w:jc w:val="center"/>
        <w:rPr>
          <w:b/>
          <w:sz w:val="24"/>
        </w:rPr>
      </w:pPr>
    </w:p>
    <w:p w:rsidR="0044476B" w:rsidRPr="0044476B" w:rsidRDefault="0044476B" w:rsidP="0044476B">
      <w:pPr>
        <w:rPr>
          <w:b/>
          <w:szCs w:val="28"/>
        </w:rPr>
      </w:pPr>
      <w:r w:rsidRPr="00F80D0C">
        <w:rPr>
          <w:sz w:val="24"/>
        </w:rPr>
        <w:t>CONCURSO PÚBLICO DE PROVAS E TÍTULOS PARA O MAGISTÉRIO SUPERIOR, ADJUNTO CLASSE “A”, NA ÁREA DE</w:t>
      </w:r>
      <w:r w:rsidRPr="00182DE5">
        <w:rPr>
          <w:b/>
          <w:sz w:val="24"/>
        </w:rPr>
        <w:t xml:space="preserve"> </w:t>
      </w:r>
      <w:r w:rsidRPr="0044476B">
        <w:rPr>
          <w:b/>
          <w:bCs/>
          <w:szCs w:val="28"/>
        </w:rPr>
        <w:t>DESIGN</w:t>
      </w:r>
      <w:r w:rsidRPr="0044476B">
        <w:rPr>
          <w:b/>
          <w:szCs w:val="28"/>
        </w:rPr>
        <w:t xml:space="preserve"> - PROJETO DE PRODUTO.</w:t>
      </w:r>
    </w:p>
    <w:p w:rsidR="0044476B" w:rsidRPr="00F80D0C" w:rsidRDefault="0044476B" w:rsidP="0044476B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44476B" w:rsidRPr="00744139" w:rsidTr="00A9073E">
        <w:tc>
          <w:tcPr>
            <w:tcW w:w="8682" w:type="dxa"/>
          </w:tcPr>
          <w:p w:rsidR="0044476B" w:rsidRPr="00744139" w:rsidRDefault="0044476B" w:rsidP="00A9073E">
            <w:pPr>
              <w:rPr>
                <w:sz w:val="24"/>
              </w:rPr>
            </w:pPr>
            <w:r w:rsidRPr="00744139">
              <w:rPr>
                <w:b/>
                <w:sz w:val="24"/>
              </w:rPr>
              <w:t>PROGRAMA</w:t>
            </w:r>
            <w:r>
              <w:rPr>
                <w:b/>
                <w:sz w:val="24"/>
              </w:rPr>
              <w:t xml:space="preserve"> DO CONCURSO</w:t>
            </w:r>
          </w:p>
        </w:tc>
      </w:tr>
      <w:tr w:rsidR="0044476B" w:rsidRPr="00634A76" w:rsidTr="00A9073E">
        <w:trPr>
          <w:trHeight w:val="2013"/>
        </w:trPr>
        <w:tc>
          <w:tcPr>
            <w:tcW w:w="8682" w:type="dxa"/>
          </w:tcPr>
          <w:p w:rsidR="0044476B" w:rsidRPr="004D76E6" w:rsidRDefault="0044476B" w:rsidP="0044476B">
            <w:pPr>
              <w:pStyle w:val="Default"/>
              <w:numPr>
                <w:ilvl w:val="0"/>
                <w:numId w:val="2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O processo </w:t>
            </w:r>
            <w:proofErr w:type="spellStart"/>
            <w:r w:rsidRPr="004D76E6">
              <w:rPr>
                <w:rFonts w:asciiTheme="minorHAnsi" w:hAnsiTheme="minorHAnsi" w:cs="Arial"/>
                <w:sz w:val="22"/>
                <w:szCs w:val="22"/>
              </w:rPr>
              <w:t>projetual</w:t>
            </w:r>
            <w:proofErr w:type="spellEnd"/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 em design do produto – uma visão sobre as ferramentas e as tendências </w:t>
            </w:r>
            <w:proofErr w:type="spellStart"/>
            <w:r w:rsidRPr="004D76E6">
              <w:rPr>
                <w:rFonts w:asciiTheme="minorHAnsi" w:hAnsiTheme="minorHAnsi" w:cs="Arial"/>
                <w:sz w:val="22"/>
                <w:szCs w:val="22"/>
              </w:rPr>
              <w:t>projetuais</w:t>
            </w:r>
            <w:proofErr w:type="spellEnd"/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 contemporâneas (atuais).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2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Inovação tecnológica pelo Design – a contribuição do Design para a Inovação tecnológica.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2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O processo criativo no Design.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2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D76E6">
              <w:rPr>
                <w:rFonts w:asciiTheme="minorHAnsi" w:hAnsiTheme="minorHAnsi" w:cs="Arial"/>
                <w:sz w:val="22"/>
                <w:szCs w:val="22"/>
              </w:rPr>
              <w:t>Ergodesign</w:t>
            </w:r>
            <w:proofErr w:type="spellEnd"/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 – a aplicação dos princípios da Ergonomia à projetação de produtos.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2"/>
              </w:numPr>
              <w:ind w:left="488"/>
              <w:rPr>
                <w:rStyle w:val="apple-style-span"/>
                <w:sz w:val="20"/>
                <w:szCs w:val="20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Design sustentável – </w:t>
            </w:r>
            <w:r w:rsidRPr="004D76E6">
              <w:rPr>
                <w:rStyle w:val="apple-style-span"/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</w:rPr>
              <w:t>uma abordagem holística no projeto do produto.</w:t>
            </w:r>
          </w:p>
          <w:p w:rsidR="0044476B" w:rsidRPr="00E81A07" w:rsidRDefault="0044476B" w:rsidP="00A9073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4476B" w:rsidRDefault="0044476B" w:rsidP="0044476B">
      <w:pPr>
        <w:rPr>
          <w:b/>
          <w:sz w:val="24"/>
        </w:rPr>
      </w:pPr>
    </w:p>
    <w:p w:rsidR="0044476B" w:rsidRDefault="0044476B" w:rsidP="0044476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476B" w:rsidRPr="00744139" w:rsidTr="00A9073E">
        <w:tc>
          <w:tcPr>
            <w:tcW w:w="8644" w:type="dxa"/>
          </w:tcPr>
          <w:p w:rsidR="0044476B" w:rsidRPr="00744139" w:rsidRDefault="0044476B" w:rsidP="00A9073E">
            <w:pPr>
              <w:rPr>
                <w:b/>
                <w:sz w:val="24"/>
                <w:u w:val="single"/>
              </w:rPr>
            </w:pPr>
            <w:r w:rsidRPr="00744139">
              <w:rPr>
                <w:b/>
                <w:sz w:val="24"/>
              </w:rPr>
              <w:t>RELAÇÃO DE TEMAS</w:t>
            </w:r>
            <w:r>
              <w:rPr>
                <w:b/>
                <w:sz w:val="24"/>
              </w:rPr>
              <w:t xml:space="preserve"> </w:t>
            </w:r>
            <w:r w:rsidRPr="004A6A7A">
              <w:rPr>
                <w:b/>
                <w:sz w:val="24"/>
              </w:rPr>
              <w:t>PARA PROVA DIDÁTICA</w:t>
            </w:r>
          </w:p>
        </w:tc>
      </w:tr>
      <w:tr w:rsidR="0044476B" w:rsidRPr="004A6A7A" w:rsidTr="00A9073E">
        <w:trPr>
          <w:trHeight w:val="2150"/>
        </w:trPr>
        <w:tc>
          <w:tcPr>
            <w:tcW w:w="8644" w:type="dxa"/>
          </w:tcPr>
          <w:p w:rsidR="0044476B" w:rsidRDefault="0044476B" w:rsidP="0044476B">
            <w:pPr>
              <w:pStyle w:val="Default"/>
              <w:rPr>
                <w:u w:val="single"/>
              </w:rPr>
            </w:pPr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Projeto do produto – aspectos formais e produtivos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Projeto do produto – linguagem e representação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Metodologia do projeto do produto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O uso de modelos no processo </w:t>
            </w:r>
            <w:proofErr w:type="spellStart"/>
            <w:r w:rsidRPr="004D76E6">
              <w:rPr>
                <w:rFonts w:asciiTheme="minorHAnsi" w:hAnsiTheme="minorHAnsi" w:cs="Arial"/>
                <w:sz w:val="22"/>
                <w:szCs w:val="22"/>
              </w:rPr>
              <w:t>projetual</w:t>
            </w:r>
            <w:proofErr w:type="spellEnd"/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 w:cs="Arial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>A Ergonomia aplicada ao projeto de produto.</w:t>
            </w:r>
          </w:p>
          <w:p w:rsidR="0044476B" w:rsidRPr="004D76E6" w:rsidRDefault="0044476B" w:rsidP="0044476B">
            <w:pPr>
              <w:pStyle w:val="Default"/>
              <w:numPr>
                <w:ilvl w:val="0"/>
                <w:numId w:val="3"/>
              </w:numPr>
              <w:ind w:left="488"/>
              <w:rPr>
                <w:rFonts w:asciiTheme="minorHAnsi" w:hAnsiTheme="minorHAnsi"/>
                <w:sz w:val="22"/>
                <w:szCs w:val="22"/>
              </w:rPr>
            </w:pPr>
            <w:r w:rsidRPr="004D76E6">
              <w:rPr>
                <w:rFonts w:asciiTheme="minorHAnsi" w:hAnsiTheme="minorHAnsi" w:cs="Arial"/>
                <w:sz w:val="22"/>
                <w:szCs w:val="22"/>
              </w:rPr>
              <w:t xml:space="preserve">Design e sustentabilidade – processos </w:t>
            </w:r>
            <w:proofErr w:type="spellStart"/>
            <w:r w:rsidRPr="004D76E6">
              <w:rPr>
                <w:rFonts w:asciiTheme="minorHAnsi" w:hAnsiTheme="minorHAnsi" w:cs="Arial"/>
                <w:sz w:val="22"/>
                <w:szCs w:val="22"/>
              </w:rPr>
              <w:t>projetuais</w:t>
            </w:r>
            <w:proofErr w:type="spellEnd"/>
            <w:r w:rsidRPr="004D76E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4476B" w:rsidRPr="00F80D0C" w:rsidRDefault="0044476B" w:rsidP="0044476B">
            <w:pPr>
              <w:pStyle w:val="Default"/>
              <w:rPr>
                <w:u w:val="single"/>
              </w:rPr>
            </w:pPr>
          </w:p>
        </w:tc>
      </w:tr>
    </w:tbl>
    <w:p w:rsidR="0044476B" w:rsidRDefault="0044476B" w:rsidP="0044476B">
      <w:pPr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44476B" w:rsidRPr="008021D8" w:rsidTr="00A9073E">
        <w:tc>
          <w:tcPr>
            <w:tcW w:w="8754" w:type="dxa"/>
            <w:shd w:val="clear" w:color="auto" w:fill="auto"/>
          </w:tcPr>
          <w:p w:rsidR="0044476B" w:rsidRPr="008021D8" w:rsidRDefault="0044476B" w:rsidP="00A9073E">
            <w:pPr>
              <w:spacing w:line="360" w:lineRule="auto"/>
              <w:ind w:left="0" w:firstLine="0"/>
              <w:rPr>
                <w:rFonts w:eastAsia="Times New Roman"/>
                <w:b/>
                <w:sz w:val="24"/>
              </w:rPr>
            </w:pPr>
            <w:r w:rsidRPr="008021D8">
              <w:rPr>
                <w:rFonts w:eastAsia="Times New Roman"/>
                <w:b/>
                <w:sz w:val="24"/>
              </w:rPr>
              <w:t>EXPECTATIVA DE ATUAÇÃO PROFISSIONAL</w:t>
            </w:r>
          </w:p>
        </w:tc>
      </w:tr>
      <w:tr w:rsidR="0044476B" w:rsidRPr="008021D8" w:rsidTr="00A9073E">
        <w:tc>
          <w:tcPr>
            <w:tcW w:w="8754" w:type="dxa"/>
            <w:shd w:val="clear" w:color="auto" w:fill="auto"/>
          </w:tcPr>
          <w:p w:rsidR="0044476B" w:rsidRPr="00AD1691" w:rsidRDefault="0044476B" w:rsidP="0044476B">
            <w:pPr>
              <w:autoSpaceDE w:val="0"/>
              <w:autoSpaceDN w:val="0"/>
              <w:adjustRightInd w:val="0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   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Para este concurso a formação, a trajetória e a atuação do(s) candidato(s) </w:t>
            </w:r>
            <w:proofErr w:type="gramStart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deve ser relacionada com o design e com o programa</w:t>
            </w:r>
            <w:proofErr w:type="gramEnd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e com os temas específicos apresentados neste edital. O perfil do profissional deve atender às recomendações da Resolução nº 5, de </w:t>
            </w:r>
            <w:proofErr w:type="gramStart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</w:t>
            </w:r>
            <w:proofErr w:type="gramEnd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de março de 2004, que trata das Diretrizes Curriculares Nacionais do Curso de Graduação em Design. Levando em conta tal resolução, é possível observar aspetos relacionados à formação de competências e habilidades no campo de design, que podem ser 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u w:val="single"/>
                <w:lang w:eastAsia="en-US"/>
              </w:rPr>
              <w:t>articuladas aos conhecimentos estabelecidos no programa e nos temas deste concurso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. Destacam-se os seguintes itens do Art. 4º da resolução mencionada: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outlineLvl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 - capacidade criativa para propor soluções inovadoras, utilizando domínio de técnicas e de processo de criação;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outlineLvl w:val="0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II - capacidade para o domínio de linguagem própria expressando conceitos e soluções, em seus projetos, de acordo com as diversas técnicas de expressão e reprodução visual;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 xml:space="preserve">III – capacidade de interagir com especialistas de outras áreas de modo a utilizar conhecimentos </w:t>
            </w: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lastRenderedPageBreak/>
              <w:t>diversos e atuar em equipes interdisciplinares na elaboração e execução de pesquisas e projetos;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>V - domínio das diferentes etapas do desenvolvimento de um projeto, a saber: definição de objetivos, técnicas de coleta e de tratamento de dados, geração e avaliação de alternativas, configuração de solução e comunicação de resultados;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>VI - conhecimento do setor produtivo de sua especialização, revelando sólida visão setorial, relacionado ao mercado, materiais, processos produtivos e tecnologias abrangendo mobiliário, [...] artefatos de qualquer natureza,</w:t>
            </w:r>
            <w:r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 xml:space="preserve"> </w:t>
            </w: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>traços culturais da sociedade, softwares e outras manifestações regionais;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>VII - domínio de gerência de produção, incluindo qualidade, produtividade, arranjo físico de fábrica, estoques, custos e investimentos, além da administração de recursos humanos para a produção;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  <w:r w:rsidRPr="00AD1691"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  <w:t>VIII - visão histórica e prospectiva, centrada nos aspectos socioeconômicos e culturais, revelando consciência das implicações econômicas, sociais, antropológicas, ambientais, estéticas e éticas de sua atividade.</w:t>
            </w: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left="738"/>
              <w:rPr>
                <w:rFonts w:asciiTheme="minorHAnsi" w:eastAsiaTheme="minorHAnsi" w:hAnsiTheme="minorHAnsi" w:cs="TimesNewRomanPSMT"/>
                <w:sz w:val="20"/>
                <w:szCs w:val="20"/>
                <w:lang w:eastAsia="en-US"/>
              </w:rPr>
            </w:pPr>
          </w:p>
          <w:p w:rsidR="0044476B" w:rsidRPr="00AD1691" w:rsidRDefault="0044476B" w:rsidP="0044476B">
            <w:pPr>
              <w:autoSpaceDE w:val="0"/>
              <w:autoSpaceDN w:val="0"/>
              <w:adjustRightInd w:val="0"/>
              <w:ind w:hanging="39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O(s) candidato(s) aprovado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(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)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também deve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(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)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atender às necessidades do curso de graduação em Design,</w:t>
            </w:r>
            <w:proofErr w:type="gramStart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dos componentes curriculares relacionadas à área específica deste concurso (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u w:val="single"/>
                <w:lang w:eastAsia="en-US"/>
              </w:rPr>
              <w:t>projeto do produto</w:t>
            </w:r>
            <w:r w:rsidRPr="00AD169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), em razão da reformulação do Projeto Pedagógico do Bacharelado em Design da UFRN e consequente renovação da estrutura curricular.</w:t>
            </w:r>
          </w:p>
          <w:p w:rsidR="0044476B" w:rsidRPr="008021D8" w:rsidRDefault="0044476B" w:rsidP="0044476B">
            <w:pPr>
              <w:ind w:left="318" w:firstLine="0"/>
              <w:rPr>
                <w:rFonts w:eastAsia="Times New Roman"/>
                <w:b/>
                <w:sz w:val="24"/>
              </w:rPr>
            </w:pPr>
            <w:r w:rsidRPr="00AD1691">
              <w:rPr>
                <w:rFonts w:asciiTheme="minorHAnsi" w:hAnsiTheme="minorHAnsi"/>
                <w:sz w:val="22"/>
                <w:szCs w:val="22"/>
              </w:rPr>
              <w:t xml:space="preserve">Considerando os princípios que regem a educação Superior no país, é necessária </w:t>
            </w:r>
            <w:proofErr w:type="gramStart"/>
            <w:r w:rsidRPr="00AD1691">
              <w:rPr>
                <w:rFonts w:asciiTheme="minorHAnsi" w:hAnsiTheme="minorHAnsi"/>
                <w:sz w:val="22"/>
                <w:szCs w:val="22"/>
              </w:rPr>
              <w:t>a dedicação do(s) candidato(s) aprovados aos eixos de constituição das universidades</w:t>
            </w:r>
            <w:proofErr w:type="gramEnd"/>
            <w:r w:rsidRPr="00AD1691">
              <w:rPr>
                <w:rFonts w:asciiTheme="minorHAnsi" w:hAnsiTheme="minorHAnsi"/>
                <w:sz w:val="22"/>
                <w:szCs w:val="22"/>
              </w:rPr>
              <w:t>: o ensino de graduação, a pesquisa e a extensão universitária.</w:t>
            </w:r>
          </w:p>
        </w:tc>
      </w:tr>
    </w:tbl>
    <w:p w:rsidR="0044476B" w:rsidRDefault="0044476B" w:rsidP="0044476B">
      <w:pPr>
        <w:spacing w:line="360" w:lineRule="auto"/>
        <w:rPr>
          <w:b/>
          <w:sz w:val="24"/>
        </w:rPr>
      </w:pPr>
    </w:p>
    <w:p w:rsidR="0044476B" w:rsidRDefault="0044476B" w:rsidP="0044476B"/>
    <w:p w:rsidR="0044476B" w:rsidRDefault="0044476B" w:rsidP="0044476B"/>
    <w:p w:rsidR="0044476B" w:rsidRDefault="0044476B" w:rsidP="0044476B"/>
    <w:p w:rsidR="00B4358B" w:rsidRDefault="00B4358B"/>
    <w:sectPr w:rsidR="00B4358B" w:rsidSect="00F80D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4FF"/>
    <w:multiLevelType w:val="hybridMultilevel"/>
    <w:tmpl w:val="234EC314"/>
    <w:lvl w:ilvl="0" w:tplc="88640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1A33"/>
    <w:multiLevelType w:val="hybridMultilevel"/>
    <w:tmpl w:val="847AD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91C75"/>
    <w:multiLevelType w:val="hybridMultilevel"/>
    <w:tmpl w:val="CA50EA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6B"/>
    <w:rsid w:val="0044476B"/>
    <w:rsid w:val="00B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B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476B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4447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4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444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B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4476B"/>
    <w:pPr>
      <w:tabs>
        <w:tab w:val="center" w:pos="4252"/>
        <w:tab w:val="right" w:pos="8504"/>
      </w:tabs>
      <w:suppressAutoHyphens/>
      <w:ind w:left="0" w:firstLine="0"/>
      <w:jc w:val="left"/>
    </w:pPr>
    <w:rPr>
      <w:rFonts w:eastAsia="Times New Roman"/>
      <w:sz w:val="24"/>
      <w:lang w:val="x-none" w:eastAsia="ar-SA"/>
    </w:rPr>
  </w:style>
  <w:style w:type="character" w:customStyle="1" w:styleId="RodapChar">
    <w:name w:val="Rodapé Char"/>
    <w:basedOn w:val="Fontepargpadro"/>
    <w:link w:val="Rodap"/>
    <w:rsid w:val="004447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44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44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2015-12-21T18:13:00Z</dcterms:created>
  <dcterms:modified xsi:type="dcterms:W3CDTF">2015-12-21T18:15:00Z</dcterms:modified>
</cp:coreProperties>
</file>