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134" w:firstLine="1134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189230</wp:posOffset>
                </wp:positionV>
                <wp:extent cx="5316220" cy="685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22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MINISTÉRIO DA EDUCAÇÃO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UNIVERSIDADE FEDERAL DO RIO GRANDE DO NORTE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sz w:val="28"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pt;margin-top:14.9pt;height:54pt;width:418.6pt;z-index:251658240;mso-width-relative:page;mso-height-relative:page;" filled="f" stroked="f" coordsize="21600,21600" o:gfxdata="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sge/9YAAAAKAQAADwAAAAAAAAABACAAAAAiAAAAZHJzL2Rvd25yZXYueG1sUEsBAhQAFAAA&#10;AAgAh07iQBP5P2PxAQAA1AMAAA4AAAAAAAAAAQAgAAAAJ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</w:rPr>
                      </w:pPr>
                      <w:r>
                        <w:rPr>
                          <w:b/>
                          <w:bCs/>
                          <w:sz w:val="24"/>
                        </w:rPr>
                        <w:t>MINISTÉRIO DA EDUCAÇÃO</w:t>
                      </w:r>
                    </w:p>
                    <w:p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4"/>
                        </w:rPr>
                        <w:t>UNIVERSIDADE FEDERAL DO RIO GRANDE DO NORTE</w:t>
                      </w:r>
                    </w:p>
                    <w:p>
                      <w:pPr>
                        <w:rPr>
                          <w:b/>
                          <w:bCs/>
                          <w:sz w:val="28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t xml:space="preserve"> </w:t>
      </w:r>
      <w:r>
        <w:drawing>
          <wp:inline distT="0" distB="0" distL="0" distR="0">
            <wp:extent cx="914400" cy="115824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5824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outlineLvl w:val="9"/>
        <w:rPr>
          <w:b/>
          <w:sz w:val="24"/>
          <w:szCs w:val="24"/>
        </w:rPr>
      </w:pPr>
      <w:r>
        <w:rPr>
          <w:b/>
          <w:sz w:val="24"/>
          <w:szCs w:val="24"/>
        </w:rPr>
        <w:t>RESOLUÇÃO N</w:t>
      </w:r>
      <w:r>
        <w:rPr>
          <w:b/>
          <w:sz w:val="24"/>
          <w:szCs w:val="24"/>
          <w:vertAlign w:val="superscript"/>
        </w:rPr>
        <w:t>o</w:t>
      </w:r>
      <w:r>
        <w:rPr>
          <w:b/>
          <w:sz w:val="24"/>
          <w:szCs w:val="24"/>
        </w:rPr>
        <w:t xml:space="preserve"> 18</w:t>
      </w:r>
      <w:r>
        <w:rPr>
          <w:b/>
          <w:sz w:val="24"/>
          <w:szCs w:val="24"/>
          <w:lang w:val="pt-BR"/>
        </w:rPr>
        <w:t>1</w:t>
      </w:r>
      <w:r>
        <w:rPr>
          <w:b/>
          <w:sz w:val="24"/>
          <w:szCs w:val="24"/>
        </w:rPr>
        <w:t>/2017-CONSEPE, de 14 de novembro de 2017.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996" w:leftChars="1998" w:right="0" w:rightChars="0" w:firstLine="0" w:firstLineChars="0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Aprova a política de melhoria da qualidade dos cursos de Graduação e de Pós-Graduação</w:t>
      </w:r>
      <w:r>
        <w:rPr>
          <w:color w:val="44546A"/>
          <w:sz w:val="23"/>
          <w:szCs w:val="23"/>
        </w:rPr>
        <w:t xml:space="preserve"> </w:t>
      </w:r>
      <w:r>
        <w:rPr>
          <w:sz w:val="23"/>
          <w:szCs w:val="23"/>
        </w:rPr>
        <w:t>oferecidos pela UFRN.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outlineLvl w:val="9"/>
        <w:rPr>
          <w:sz w:val="23"/>
          <w:szCs w:val="2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A REITORA DA UNIVERSIDADE FEDERAL DO RIO GRANDE DO NORTE faz saber que o Conselho de Ensino, Pesquisa e Extensão - CONSEPE, usando da atribuição que lhe confere o artigo 17, Inciso XII do Estatuto da UFRN,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o papel estratégico da educação pública de qualidade para o desenvolvimento econômico e social e para a construção de uma sociedade mais democrática e mais igualitária no Brasil;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a importância da avaliação de cursos e das instituições para o fortalecimento da educação superior do país;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a importância da melhoria constante dos indicadores de qualidade das instituições públicas de educação superior do país;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a Lei</w:t>
      </w:r>
      <w:r>
        <w:rPr>
          <w:sz w:val="23"/>
          <w:szCs w:val="23"/>
          <w:lang w:val="pt-BR"/>
        </w:rPr>
        <w:t xml:space="preserve"> </w:t>
      </w:r>
      <w:r>
        <w:rPr>
          <w:sz w:val="23"/>
          <w:szCs w:val="23"/>
        </w:rPr>
        <w:t>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10.861, de 14 de abril de 2004, que institui o Sistema Nacional de Avaliação da Educação Superior (SINAES), a Portaria 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40/2007, reeditada em 2010, que consolida disposições sobre indicadores de qualidade e a Portaria Normativa MEC 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4, de 5 de agosto de 2008, que  regulamenta a aplicação do Conceito Preliminar de Cursos (CPC);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a Portaria MEC 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1.383, de 31 de outubro de 2017, que aprova, em extrato, os indicadores do Instrumento de Avaliação de Cursos de Graduação para os atos de autorização, reconhecimento e renovação de reconhecimento nas modalidades presencial e a distância do Sistema Nacional de Avaliação da Educação Superior – Sinaes;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a Portaria MEC 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1.418, de 23 de dezembro de 1998, que dispõe sobre a classificação dos cursos de mestrado e doutorado, segundo o padrão de qualidade que possuem;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a Portaria Normativa MEC 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12, de 05 de setembro de 2008, que cria o Índice Geral de Cursos da Instituição (IGC) como indicador de qualidade dos cursos oferecidos pelas IES;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9"/>
        <w:jc w:val="both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a Resolução</w:t>
      </w:r>
      <w:r>
        <w:rPr>
          <w:sz w:val="23"/>
          <w:szCs w:val="23"/>
          <w:lang w:val="pt-BR"/>
        </w:rPr>
        <w:t xml:space="preserve"> </w:t>
      </w:r>
      <w:r>
        <w:rPr>
          <w:sz w:val="23"/>
          <w:szCs w:val="23"/>
        </w:rPr>
        <w:t>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015/2010 CONSUNI, que aprova o Plano de Desenvolvimento Institucional - PDI, período 2010/2019, da Universidade Federal do Rio Grande do Norte – UFRN e a Resolução</w:t>
      </w:r>
      <w:r>
        <w:rPr>
          <w:sz w:val="23"/>
          <w:szCs w:val="23"/>
          <w:lang w:val="pt-BR"/>
        </w:rPr>
        <w:t xml:space="preserve"> </w:t>
      </w:r>
      <w:r>
        <w:rPr>
          <w:sz w:val="23"/>
          <w:szCs w:val="23"/>
        </w:rPr>
        <w:t>n</w:t>
      </w:r>
      <w:r>
        <w:rPr>
          <w:sz w:val="23"/>
          <w:szCs w:val="23"/>
          <w:u w:val="single"/>
          <w:vertAlign w:val="superscript"/>
        </w:rPr>
        <w:t>o</w:t>
      </w:r>
      <w:bookmarkStart w:id="0" w:name="_GoBack"/>
      <w:bookmarkEnd w:id="0"/>
      <w:r>
        <w:rPr>
          <w:sz w:val="23"/>
          <w:szCs w:val="23"/>
        </w:rPr>
        <w:t xml:space="preserve"> 019/2015 CONSUNI que aprova atualização das metas do Plano de Desenvolvimento Institucional - PDI, período 2010/2019, da Universidade Federal do Rio Grande do Norte – UFRN;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CONSIDERANDO o que consta no processo n</w:t>
      </w:r>
      <w:r>
        <w:rPr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230</w:t>
      </w:r>
      <w:r>
        <w:rPr>
          <w:b w:val="0"/>
          <w:bCs w:val="0"/>
          <w:sz w:val="23"/>
          <w:szCs w:val="23"/>
        </w:rPr>
        <w:t>77.</w:t>
      </w:r>
      <w:r>
        <w:rPr>
          <w:b w:val="0"/>
          <w:bCs w:val="0"/>
          <w:color w:val="000000"/>
          <w:sz w:val="23"/>
          <w:szCs w:val="23"/>
        </w:rPr>
        <w:t>071683/2017-48</w:t>
      </w:r>
      <w:r>
        <w:rPr>
          <w:sz w:val="23"/>
          <w:szCs w:val="23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outlineLvl w:val="9"/>
        <w:rPr>
          <w:sz w:val="23"/>
          <w:szCs w:val="23"/>
          <w:highlight w:val="yello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outlineLvl w:val="9"/>
        <w:rPr>
          <w:sz w:val="23"/>
          <w:szCs w:val="23"/>
          <w:highlight w:val="yellow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98" w:firstLineChars="347"/>
        <w:textAlignment w:val="auto"/>
        <w:outlineLvl w:val="9"/>
        <w:rPr>
          <w:sz w:val="23"/>
          <w:szCs w:val="23"/>
        </w:rPr>
      </w:pPr>
      <w:r>
        <w:rPr>
          <w:b/>
          <w:sz w:val="23"/>
          <w:szCs w:val="23"/>
        </w:rPr>
        <w:t>RESOLVE:</w:t>
      </w:r>
      <w:r>
        <w:rPr>
          <w:sz w:val="23"/>
          <w:szCs w:val="23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98" w:firstLineChars="347"/>
        <w:textAlignment w:val="auto"/>
        <w:outlineLvl w:val="9"/>
        <w:rPr>
          <w:sz w:val="23"/>
          <w:szCs w:val="23"/>
        </w:rPr>
      </w:pPr>
      <w:r>
        <w:rPr>
          <w:b/>
          <w:sz w:val="23"/>
          <w:szCs w:val="23"/>
        </w:rPr>
        <w:t>Art. 1</w:t>
      </w:r>
      <w:r>
        <w:rPr>
          <w:b/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Aprovar a política de melhoria da qualidade dos cursos de Graduação e de Pós-Graduação oferecidos pela UFRN.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98" w:firstLineChars="347"/>
        <w:textAlignment w:val="auto"/>
        <w:outlineLvl w:val="9"/>
        <w:rPr>
          <w:sz w:val="23"/>
          <w:szCs w:val="23"/>
        </w:rPr>
      </w:pPr>
      <w:r>
        <w:rPr>
          <w:b/>
          <w:sz w:val="23"/>
          <w:szCs w:val="23"/>
        </w:rPr>
        <w:t xml:space="preserve">Art. </w:t>
      </w:r>
      <w:r>
        <w:rPr>
          <w:b/>
          <w:sz w:val="23"/>
          <w:szCs w:val="23"/>
          <w:lang w:val="pt-BR"/>
        </w:rPr>
        <w:t>2</w:t>
      </w:r>
      <w:r>
        <w:rPr>
          <w:b/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As unidades institucionais têm até 31 de agosto de 2018 para providenciar a adaptação aos procedimentos previstos na presente Resolução.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20"/>
        <w:textAlignment w:val="auto"/>
        <w:outlineLvl w:val="9"/>
        <w:rPr>
          <w:sz w:val="23"/>
          <w:szCs w:val="23"/>
        </w:rPr>
      </w:pPr>
      <w:r>
        <w:rPr>
          <w:b/>
          <w:sz w:val="23"/>
          <w:szCs w:val="23"/>
        </w:rPr>
        <w:t xml:space="preserve">Art. </w:t>
      </w:r>
      <w:r>
        <w:rPr>
          <w:b/>
          <w:sz w:val="23"/>
          <w:szCs w:val="23"/>
          <w:lang w:val="pt-BR"/>
        </w:rPr>
        <w:t>3</w:t>
      </w:r>
      <w:r>
        <w:rPr>
          <w:b/>
          <w:sz w:val="23"/>
          <w:szCs w:val="23"/>
          <w:u w:val="single"/>
          <w:vertAlign w:val="superscript"/>
        </w:rPr>
        <w:t>o</w:t>
      </w:r>
      <w:r>
        <w:rPr>
          <w:sz w:val="23"/>
          <w:szCs w:val="23"/>
        </w:rPr>
        <w:t xml:space="preserve"> Esta Resolução entra em vigor a partir da data de sua publicação, revogadas as disposições em contrário</w:t>
      </w:r>
      <w:r>
        <w:rPr>
          <w:sz w:val="23"/>
          <w:szCs w:val="23"/>
          <w:lang w:val="pt-BR"/>
        </w:rPr>
        <w:t xml:space="preserve">, </w:t>
      </w:r>
      <w:r>
        <w:rPr>
          <w:sz w:val="23"/>
          <w:szCs w:val="23"/>
        </w:rPr>
        <w:t xml:space="preserve"> respeitado o disposto no artigo anterior.</w:t>
      </w:r>
    </w:p>
    <w:p>
      <w:pPr>
        <w:keepNext w:val="0"/>
        <w:keepLines w:val="0"/>
        <w:pageBreakBefore w:val="0"/>
        <w:widowControl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</w:t>
      </w:r>
    </w:p>
    <w:p>
      <w:pPr>
        <w:keepNext w:val="0"/>
        <w:keepLines w:val="0"/>
        <w:pageBreakBefore w:val="0"/>
        <w:widowControl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 xml:space="preserve">                Reitoria, em Natal, 14 de novembro de 2017.</w:t>
      </w:r>
    </w:p>
    <w:p>
      <w:pPr>
        <w:keepNext w:val="0"/>
        <w:keepLines w:val="0"/>
        <w:pageBreakBefore w:val="0"/>
        <w:widowControl/>
        <w:tabs>
          <w:tab w:val="left" w:pos="540"/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outlineLvl w:val="9"/>
        <w:rPr>
          <w:sz w:val="23"/>
          <w:szCs w:val="2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  <w:r>
        <w:rPr>
          <w:sz w:val="23"/>
          <w:szCs w:val="23"/>
        </w:rPr>
        <w:t>Ângela Maria Paiva Cruz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b/>
          <w:sz w:val="23"/>
          <w:szCs w:val="23"/>
        </w:rPr>
      </w:pPr>
      <w:r>
        <w:rPr>
          <w:b/>
          <w:sz w:val="23"/>
          <w:szCs w:val="23"/>
        </w:rPr>
        <w:t>REITORA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</w:p>
    <w:p>
      <w:p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auto"/>
          <w:sz w:val="22"/>
          <w:szCs w:val="22"/>
        </w:rPr>
        <w:t>Anexo da Resolução n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vertAlign w:val="superscript"/>
          <w:lang w:val="pt-BR"/>
        </w:rPr>
        <w:t>o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</w:rPr>
        <w:t xml:space="preserve"> 1</w:t>
      </w:r>
      <w:r>
        <w:rPr>
          <w:rFonts w:hint="default" w:cs="Times New Roman"/>
          <w:b/>
          <w:color w:val="auto"/>
          <w:sz w:val="22"/>
          <w:szCs w:val="22"/>
          <w:lang w:val="pt-BR"/>
        </w:rPr>
        <w:t>81</w:t>
      </w:r>
      <w:r>
        <w:rPr>
          <w:rFonts w:hint="default" w:ascii="Times New Roman" w:hAnsi="Times New Roman" w:cs="Times New Roman"/>
          <w:sz w:val="22"/>
          <w:szCs w:val="22"/>
        </w:rPr>
        <w:t>/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2017-CONSEPE, de </w:t>
      </w:r>
      <w:r>
        <w:rPr>
          <w:rFonts w:hint="default" w:ascii="Times New Roman" w:hAnsi="Times New Roman" w:cs="Times New Roman"/>
          <w:b/>
          <w:sz w:val="22"/>
          <w:szCs w:val="22"/>
          <w:lang w:val="pt-BR"/>
        </w:rPr>
        <w:t>1</w:t>
      </w:r>
      <w:r>
        <w:rPr>
          <w:rFonts w:hint="default" w:cs="Times New Roman"/>
          <w:b/>
          <w:sz w:val="22"/>
          <w:szCs w:val="22"/>
          <w:lang w:val="pt-BR"/>
        </w:rPr>
        <w:t>4</w:t>
      </w:r>
      <w:r>
        <w:rPr>
          <w:rFonts w:hint="default" w:ascii="Times New Roman" w:hAnsi="Times New Roman" w:cs="Times New Roman"/>
          <w:b/>
          <w:sz w:val="22"/>
          <w:szCs w:val="22"/>
          <w:lang w:val="pt-BR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de </w:t>
      </w:r>
      <w:r>
        <w:rPr>
          <w:rFonts w:hint="default" w:cs="Times New Roman"/>
          <w:b/>
          <w:sz w:val="22"/>
          <w:szCs w:val="22"/>
          <w:lang w:val="pt-BR"/>
        </w:rPr>
        <w:t>novem</w:t>
      </w:r>
      <w:r>
        <w:rPr>
          <w:rFonts w:hint="default" w:ascii="Times New Roman" w:hAnsi="Times New Roman" w:cs="Times New Roman"/>
          <w:b/>
          <w:sz w:val="22"/>
          <w:szCs w:val="22"/>
        </w:rPr>
        <w:t>bro de 2017.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outlineLvl w:val="9"/>
        <w:rPr>
          <w:sz w:val="23"/>
          <w:szCs w:val="23"/>
        </w:rPr>
      </w:pP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/>
        <w:jc w:val="center"/>
        <w:textAlignment w:val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POLÍTICA DE MELHORIA DA QUALIDADE DOS CURSOS DE GRADUAÇÃO E DE PÓS-GRADUAÇÃO OFERECIDOS PELA UFRN</w:t>
      </w: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/>
        <w:jc w:val="center"/>
        <w:textAlignment w:val="auto"/>
        <w:rPr>
          <w:rFonts w:ascii="Times New Roman" w:hAnsi="Times New Roman"/>
          <w:b/>
          <w:color w:val="auto"/>
          <w:sz w:val="24"/>
          <w:szCs w:val="24"/>
        </w:rPr>
      </w:pP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/>
        <w:jc w:val="center"/>
        <w:textAlignment w:val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CAPÍTULO I</w:t>
      </w: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/>
        <w:jc w:val="center"/>
        <w:textAlignment w:val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DAS DISPOSIÇÕES GERAIS</w:t>
      </w: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0"/>
        <w:jc w:val="center"/>
        <w:textAlignment w:val="auto"/>
        <w:rPr>
          <w:rFonts w:ascii="Times New Roman" w:hAnsi="Times New Roman"/>
          <w:b/>
          <w:color w:val="auto"/>
          <w:sz w:val="24"/>
          <w:szCs w:val="24"/>
        </w:rPr>
      </w:pP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Art. 1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 xml:space="preserve"> A política de melhoria da qualidade dos cursos de Graduação e de Pós-Graduação oferecidos pela UFRN constitui-se em importante instrumento de fortalecimento da missão institucional de educar, produzir e disseminar o saber universal, preservar e difundir as artes e a cultura, e contribuir para o desenvolvimento humano, comprometendo-se com a justiça social, a sustentabilidade socioambiental, a democracia e a cidadania.</w:t>
      </w:r>
    </w:p>
    <w:p>
      <w:pPr>
        <w:pStyle w:val="8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Parágrafo único. </w:t>
      </w:r>
      <w:r>
        <w:rPr>
          <w:rFonts w:ascii="Times New Roman" w:hAnsi="Times New Roman"/>
          <w:color w:val="auto"/>
          <w:sz w:val="24"/>
          <w:szCs w:val="24"/>
        </w:rPr>
        <w:t>Esta política será implementada por meio de programas específicos para a melhoria do ensino de Graduação e de Pós-Graduação.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2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O desenvolvimento da política de melhoria da qualidade dos cursos de Graduação e de Pós-Graduação será acompanhado e avaliado pela Comissão Própria de Avaliação (CPA) da UFRN.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3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Para o desenvolvimento da política, a UFRN utilizará como referencial os seguintes indicadores do Instituto Nacional de Estudos e Pesquisas Educacionais Anísio Teixeira - INEP/MEC e da Coordenação de Aperfeiçoamento do Pessoal de Nível Superior - CAPES: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– 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 xml:space="preserve"> Índice Geral de Cursos (IGC) como indicador da instituição;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– 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 xml:space="preserve"> Conceito Preliminar de Curso (CPC) e o Conceito de Curso (CC) gerado pelas avaliações </w:t>
      </w:r>
      <w:r>
        <w:rPr>
          <w:i/>
          <w:color w:val="auto"/>
          <w:sz w:val="24"/>
          <w:szCs w:val="24"/>
        </w:rPr>
        <w:t>in loco</w:t>
      </w:r>
      <w:r>
        <w:rPr>
          <w:color w:val="auto"/>
          <w:sz w:val="24"/>
          <w:szCs w:val="24"/>
        </w:rPr>
        <w:t xml:space="preserve"> do MEC/INEP para os cursos de 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III – 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 xml:space="preserve"> Conceito CAPES para os </w:t>
      </w:r>
      <w:r>
        <w:rPr>
          <w:color w:val="auto"/>
          <w:sz w:val="24"/>
          <w:szCs w:val="24"/>
          <w:lang w:val="pt-BR"/>
        </w:rPr>
        <w:t>p</w:t>
      </w:r>
      <w:r>
        <w:rPr>
          <w:color w:val="auto"/>
          <w:sz w:val="24"/>
          <w:szCs w:val="24"/>
        </w:rPr>
        <w:t xml:space="preserve">rogramas de </w:t>
      </w:r>
      <w:r>
        <w:rPr>
          <w:color w:val="auto"/>
          <w:sz w:val="24"/>
          <w:szCs w:val="24"/>
          <w:lang w:val="pt-BR"/>
        </w:rPr>
        <w:t>P</w:t>
      </w:r>
      <w:r>
        <w:rPr>
          <w:color w:val="auto"/>
          <w:sz w:val="24"/>
          <w:szCs w:val="24"/>
        </w:rPr>
        <w:t>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Parágrafo único. </w:t>
      </w:r>
      <w:r>
        <w:rPr>
          <w:color w:val="auto"/>
          <w:sz w:val="24"/>
          <w:szCs w:val="24"/>
        </w:rPr>
        <w:t xml:space="preserve">O Índice Geral de Cursos (IGC) contempla a qualidade dos cursos de graduação e de pós-graduação, em níveis de </w:t>
      </w:r>
      <w:r>
        <w:rPr>
          <w:color w:val="auto"/>
          <w:sz w:val="24"/>
          <w:szCs w:val="24"/>
          <w:lang w:val="pt-BR"/>
        </w:rPr>
        <w:t>M</w:t>
      </w:r>
      <w:r>
        <w:rPr>
          <w:color w:val="auto"/>
          <w:sz w:val="24"/>
          <w:szCs w:val="24"/>
        </w:rPr>
        <w:t xml:space="preserve">estrado e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outorado.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pStyle w:val="3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CAPÍTULO II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DOS PROGRAMAS 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rPr>
          <w:b/>
          <w:bCs/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Seção I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Do Programa dos Cursos de Graduação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4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O programa de melhoria dos indicadores dos cursos de 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será coordenado pela Pró-Reitoria de Graduação (PROGRAD), com base nos indicadores CPC e CC, de acordo com sua disponibilidade.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b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§1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 w:val="0"/>
          <w:bCs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Deverão ser considerados os indicadores obtidos nos três últimos anos.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§2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 w:val="0"/>
          <w:bCs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Nos casos da inexistência dos indicadores mencionados no </w:t>
      </w:r>
      <w:r>
        <w:rPr>
          <w:i/>
          <w:iCs/>
          <w:color w:val="auto"/>
          <w:sz w:val="24"/>
          <w:szCs w:val="24"/>
        </w:rPr>
        <w:t xml:space="preserve">caput </w:t>
      </w:r>
      <w:r>
        <w:rPr>
          <w:color w:val="auto"/>
          <w:sz w:val="24"/>
          <w:szCs w:val="24"/>
        </w:rPr>
        <w:t>deste artigo, os cursos deverão fazer autoavaliação para o desenvolvimento do programa, sob coordenação da CPA.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5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Todos os cursos de 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da UFRN deverão ter um Plano de Ação Trienal do Curso de Graduação (PATCG), propondo estratégias para enfrentamento das fragilidades e encaminhamentos de melhorias dos indicadores.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6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Fica criada a Comissão de Graduação com o objetivo de avaliar e acompanhar os PATCG na UFRN.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7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A Comissão de Graduação tem a seguinte composição: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 – o Pró-Reitor de Graduação, seu presidente;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II – um representante da CPA;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III – o Procurador Educacional Institucional (PI);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IV – um representante da Coordenadoria de Acompanhamento, Planejamento e Avaliação Acadêmica (COPAV), indicado pelo Pró-Reitor de Graduação;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V – os Assessores Acadêmicos dos Centros Acadêmicos e Unidades Acadêmicas Especializadas.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Parágrafo único.</w:t>
      </w:r>
      <w:r>
        <w:rPr>
          <w:color w:val="auto"/>
          <w:sz w:val="24"/>
          <w:szCs w:val="24"/>
        </w:rPr>
        <w:t xml:space="preserve">  Os Centros Acadêmicos ou Unidades Acadêmicas Especializadas que não tiverem Assessores Acadêmicos nomeados indicarão um representante docente para compor a Comissão de Graduação.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8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O programa para melhoria dos indicadores dos cursos de 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contempla as seguintes dimensões: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–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esempenho dos estudantes no Exame Nacional de Desempenho de Estudantes (ENADE);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– </w:t>
      </w:r>
      <w:r>
        <w:rPr>
          <w:color w:val="auto"/>
          <w:sz w:val="24"/>
          <w:szCs w:val="24"/>
          <w:lang w:val="pt-BR"/>
        </w:rPr>
        <w:t>p</w:t>
      </w:r>
      <w:r>
        <w:rPr>
          <w:color w:val="auto"/>
          <w:sz w:val="24"/>
          <w:szCs w:val="24"/>
        </w:rPr>
        <w:t>ercepção discente sobre as condições do processo formativo no ENADE;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III – </w:t>
      </w:r>
      <w:r>
        <w:rPr>
          <w:color w:val="auto"/>
          <w:sz w:val="24"/>
          <w:szCs w:val="24"/>
          <w:lang w:val="pt-BR"/>
        </w:rPr>
        <w:t>c</w:t>
      </w:r>
      <w:r>
        <w:rPr>
          <w:color w:val="auto"/>
          <w:sz w:val="24"/>
          <w:szCs w:val="24"/>
        </w:rPr>
        <w:t>orpo docente;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IV – 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>rganização Didático-Pedagógica;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V – </w:t>
      </w:r>
      <w:r>
        <w:rPr>
          <w:color w:val="auto"/>
          <w:sz w:val="24"/>
          <w:szCs w:val="24"/>
          <w:lang w:val="pt-BR"/>
        </w:rPr>
        <w:t>i</w:t>
      </w:r>
      <w:r>
        <w:rPr>
          <w:color w:val="auto"/>
          <w:sz w:val="24"/>
          <w:szCs w:val="24"/>
        </w:rPr>
        <w:t>nfraestrutura.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§1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Para os cursos com CPC, aplicam-se as dimensões I, II e III.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§2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 w:val="0"/>
          <w:bCs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Para os cursos com CC ou autoavaliados, aplicam-se as dimensões III, IV e V.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9</w:t>
      </w:r>
      <w:r>
        <w:rPr>
          <w:b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Fica institucionalizada a Semana de Avaliação e Planejamento definida no Calendário Universitário da UFRN, sob a responsabilidade dos Departamentos ou Centros e Unidades Acadêmicas Especializadas.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§1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 w:val="0"/>
          <w:bCs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A Semana de Avaliação e Planejamento deverá incluir análise e discussão do PATCG dos cursos para os quais a unidade oferece componentes curriculares e estratégias para enfrentamento das fragilidades no que for de sua competência, conforme diretrizes estabelecidas pela PROGRAD e CPA.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§2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 w:val="0"/>
          <w:bCs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A participação dos docentes na Semana de Avaliação e Planejamento é obrigatória, aplicando-se a ela a mesma exigência estabelecida no Regimento Geral para reuniões dos colegiados deliberativos.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10</w:t>
      </w:r>
      <w:r>
        <w:rPr>
          <w:color w:val="auto"/>
          <w:sz w:val="24"/>
          <w:szCs w:val="24"/>
        </w:rPr>
        <w:t xml:space="preserve"> Os PATCG deverão ser formalizados em processos pelas Coordenações de Curso contendo, no mínimo, os seguintes tópicos: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–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nálise situacional;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- 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>bjetivos;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III -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nálise do(s) relatório(s), considerando as dimensões citadas no art. 8º, onde couber;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IV -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stratégias para melhoria da qualidade do curso;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V - </w:t>
      </w:r>
      <w:r>
        <w:rPr>
          <w:color w:val="auto"/>
          <w:sz w:val="24"/>
          <w:szCs w:val="24"/>
          <w:lang w:val="pt-BR"/>
        </w:rPr>
        <w:t>c</w:t>
      </w:r>
      <w:r>
        <w:rPr>
          <w:color w:val="auto"/>
          <w:sz w:val="24"/>
          <w:szCs w:val="24"/>
        </w:rPr>
        <w:t>ronograma das ações e definição dos responsáveis;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VI - 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>esultados esperados para cada dimensão.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Art. 11 </w:t>
      </w:r>
      <w:r>
        <w:rPr>
          <w:color w:val="auto"/>
          <w:sz w:val="24"/>
          <w:szCs w:val="24"/>
        </w:rPr>
        <w:t>No que se refere ao PATCG, compete: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- </w:t>
      </w:r>
      <w:r>
        <w:rPr>
          <w:color w:val="auto"/>
          <w:sz w:val="24"/>
          <w:szCs w:val="24"/>
          <w:lang w:val="pt-BR"/>
        </w:rPr>
        <w:t xml:space="preserve">à </w:t>
      </w:r>
      <w:r>
        <w:rPr>
          <w:color w:val="auto"/>
          <w:sz w:val="24"/>
          <w:szCs w:val="24"/>
        </w:rPr>
        <w:t>PROGRAD: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efinir o calendário para o desenvolvimento das etapas de oficinas e encaminhamentos relativos ao PATCG;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>rientar a elaboração do PATCG pelas coordenações dos cursos e membros do Núcleo Docente Estruturante (NDE).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Coordenação de Curso: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laborar o PATCG juntamente com o NDE, devendo contemplar a análise dos relatórios das avaliações do curso (ENADE, avaliações externas do MEC ou autoavaliação), além dos aspectos relevantes para a qualidade da formação dos alunos;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s</w:t>
      </w:r>
      <w:r>
        <w:rPr>
          <w:color w:val="auto"/>
          <w:sz w:val="24"/>
          <w:szCs w:val="24"/>
        </w:rPr>
        <w:t>ubmeter, após parecer técnico da Comissão de Graduação, o PATCG à aprovação do Colegiado do Curso e do Conselho do Centro (CONSEC) ou da Unidade Acadêmica Especializada;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c)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ncaminhar o PATCG à Comissão de Graduação, após aprovação do Conselho do Centro ou da Unidade Acadêmica Especializada, para fins de registro e acompanhamento;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d)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ncaminhar relatório anual à Comissão de Graduação, após aprovação pelo Colegiado do Curso conforme calendário estabelecido pela PROGRAD, nos termos do inciso I deste artigo;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  <w:lang w:val="pt-BR"/>
        </w:rPr>
      </w:pPr>
      <w:r>
        <w:rPr>
          <w:color w:val="auto"/>
          <w:sz w:val="24"/>
          <w:szCs w:val="24"/>
        </w:rPr>
        <w:t xml:space="preserve">III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Assessoria Acadêmica dos Centros ou das Unidades Acadêmicas Especializadas, acompanhar a execução e atualização do PATCG, juntamente com a Comissão de Graduação, por meio de relatórios anuais enviados pelas coordenações de curso</w:t>
      </w:r>
      <w:r>
        <w:rPr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  <w:lang w:val="pt-BR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  <w:lang w:val="pt-BR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IV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Comissão de Graduação: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mitir parecer técnico sobre os PATCG;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companhar a execução do PATCG, juntamente com a Assessoria Acadêmica dos Centros e das Unidades Acadêmicas Especializadas.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12</w:t>
      </w:r>
      <w:r>
        <w:rPr>
          <w:color w:val="auto"/>
          <w:sz w:val="24"/>
          <w:szCs w:val="24"/>
        </w:rPr>
        <w:t xml:space="preserve"> No que se refere à dimensão desempenho dos estudantes no ENADE, compete: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PROGRAD: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a) R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>ealizar oficinas com os coordenadores de cursos e membros do NDE para orientação e análise dos relatórios do ENADE, observando os ciclos avaliativos do INEP;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>ealizar o Seminário ENADE na UFRN</w:t>
      </w:r>
      <w:r>
        <w:rPr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Coordenação de Curso: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valiar e identificar o perfil dos ingressantes do respectivo curso, juntamente com NDE, a partir do questionário do Exame Nacional do Ensino Médio (ENEM);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i</w:t>
      </w:r>
      <w:r>
        <w:rPr>
          <w:color w:val="auto"/>
          <w:sz w:val="24"/>
          <w:szCs w:val="24"/>
        </w:rPr>
        <w:t>dentificar o perfil dos concluintes do respectivo curso para inscrição no ENADE;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c) </w:t>
      </w:r>
      <w:r>
        <w:rPr>
          <w:color w:val="auto"/>
          <w:sz w:val="24"/>
          <w:szCs w:val="24"/>
          <w:lang w:val="pt-BR"/>
        </w:rPr>
        <w:t>s</w:t>
      </w:r>
      <w:r>
        <w:rPr>
          <w:color w:val="auto"/>
          <w:sz w:val="24"/>
          <w:szCs w:val="24"/>
        </w:rPr>
        <w:t>ensibilizar e orientar os estudantes sobre o ENADE;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d) </w:t>
      </w:r>
      <w:r>
        <w:rPr>
          <w:color w:val="auto"/>
          <w:sz w:val="24"/>
          <w:szCs w:val="24"/>
          <w:lang w:val="pt-BR"/>
        </w:rPr>
        <w:t>p</w:t>
      </w:r>
      <w:r>
        <w:rPr>
          <w:color w:val="auto"/>
          <w:sz w:val="24"/>
          <w:szCs w:val="24"/>
        </w:rPr>
        <w:t>articipar do Seminário ENADE na UFRN.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13</w:t>
      </w:r>
      <w:r>
        <w:rPr>
          <w:color w:val="auto"/>
          <w:sz w:val="24"/>
          <w:szCs w:val="24"/>
        </w:rPr>
        <w:t xml:space="preserve"> No que se refere à dimensão percepção discente sobre as condições do processo formativo no ENADE, compete: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Coordenação de Curso: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iscutir, juntamente com o NDE, as questões relativas ao Questionário Obrigatório do Estudante, integrante do ENADE, para fins de elaboração, execução e acompanhamento do PATCG;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b) S</w:t>
      </w:r>
      <w:r>
        <w:rPr>
          <w:color w:val="auto"/>
          <w:sz w:val="24"/>
          <w:szCs w:val="24"/>
          <w:lang w:val="pt-BR"/>
        </w:rPr>
        <w:t>s</w:t>
      </w:r>
      <w:r>
        <w:rPr>
          <w:color w:val="auto"/>
          <w:sz w:val="24"/>
          <w:szCs w:val="24"/>
        </w:rPr>
        <w:t>ensibilizar os alunos para a importância da avaliação da docência;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c)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ivulgar junto aos alunos as condições do processo formativo na Instituição;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d)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ivulgar junto aos alunos as ações da Comissão Permanente de Apoio a Estudantes com Necessidades Educacionais Especiais (CAENE), da orientação acadêmica e dos programas institucionais de apoio, como monitoria, tutoria e hábitos de estudos;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e)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ivulgar junto aos alunos as composições dos órgãos colegiados, as atividades de cultura, de lazer e de interação social, promovidas pela instituição;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-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os Departamentos, Centros e Unidades Acadêmicas Especializadas, discutir os resultados da Avaliação da Docência na Semana de Avaliação e Planejamento e adotar os encaminhamentos necessários.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14</w:t>
      </w:r>
      <w:r>
        <w:rPr>
          <w:color w:val="auto"/>
          <w:sz w:val="24"/>
          <w:szCs w:val="24"/>
        </w:rPr>
        <w:t xml:space="preserve"> No que se refere à dimensão corpo docente, compete: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–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os Docentes: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isponibilizar, no prazo estabelecido pela coordenação, as informações e respectivas comprovações solicitadas pela Coordenação do Curso para subsidiar o processo de avaliação;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p</w:t>
      </w:r>
      <w:r>
        <w:rPr>
          <w:color w:val="auto"/>
          <w:sz w:val="24"/>
          <w:szCs w:val="24"/>
        </w:rPr>
        <w:t xml:space="preserve">articipar das reuniões agendadas de avaliações </w:t>
      </w:r>
      <w:r>
        <w:rPr>
          <w:i/>
          <w:color w:val="auto"/>
          <w:sz w:val="24"/>
          <w:szCs w:val="24"/>
        </w:rPr>
        <w:t>in loco</w:t>
      </w:r>
      <w:r>
        <w:rPr>
          <w:i/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Coordenação de Curso, fortalecer a Orientação Acadêmica como atividade sistêmica e continuada, conforme Regulamento dos Cursos de Graduação da UFRN;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III -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 xml:space="preserve">o Departamento Acadêmico, exigir </w:t>
      </w:r>
      <w:r>
        <w:rPr>
          <w:color w:val="auto"/>
          <w:sz w:val="24"/>
          <w:szCs w:val="24"/>
          <w:lang w:val="pt-BR"/>
        </w:rPr>
        <w:t>que o c</w:t>
      </w:r>
      <w:r>
        <w:rPr>
          <w:color w:val="auto"/>
          <w:sz w:val="24"/>
          <w:szCs w:val="24"/>
        </w:rPr>
        <w:t xml:space="preserve">orpo </w:t>
      </w:r>
      <w:r>
        <w:rPr>
          <w:color w:val="auto"/>
          <w:sz w:val="24"/>
          <w:szCs w:val="24"/>
          <w:lang w:val="pt-BR"/>
        </w:rPr>
        <w:t>d</w:t>
      </w:r>
      <w:r>
        <w:rPr>
          <w:color w:val="auto"/>
          <w:sz w:val="24"/>
          <w:szCs w:val="24"/>
        </w:rPr>
        <w:t>ocente, mante</w:t>
      </w:r>
      <w:r>
        <w:rPr>
          <w:color w:val="auto"/>
          <w:sz w:val="24"/>
          <w:szCs w:val="24"/>
          <w:lang w:val="pt-BR"/>
        </w:rPr>
        <w:t>nha</w:t>
      </w:r>
      <w:r>
        <w:rPr>
          <w:color w:val="auto"/>
          <w:sz w:val="24"/>
          <w:szCs w:val="24"/>
        </w:rPr>
        <w:t xml:space="preserve"> atualizad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 xml:space="preserve"> a apresentação e utilização dos Planos de Curso na condução do processo de ensino aprendizagem, conforme Regulamento dos Cursos de Graduação da UFRN.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15.</w:t>
      </w:r>
      <w:r>
        <w:rPr>
          <w:color w:val="auto"/>
          <w:sz w:val="24"/>
          <w:szCs w:val="24"/>
        </w:rPr>
        <w:t xml:space="preserve"> No que se refere à dimensão organização didático-pedagógica, compete: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–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PROGRAD: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p</w:t>
      </w:r>
      <w:r>
        <w:rPr>
          <w:color w:val="auto"/>
          <w:sz w:val="24"/>
          <w:szCs w:val="24"/>
        </w:rPr>
        <w:t>romover oficinas, por meio do Programa de Atualização Pedagógica (PAP), para os membros do NDE e demais interessados visando à atualização dos PPC;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>ealizar oficinas, por meio do PAP, para docentes objetivando o aperfeiçoamento e atualização de metodologias de aprendizagem e uso das novas Tecnologias da Informação;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c) 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>ealizar oficinas para os coordenadores de cursos e demais interessados, para esclarecimentos sobre os procedimentos acadêmicos, de gestão e pedagógicos relativos ao funcionamento dos cursos de graduação;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d) 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 xml:space="preserve">ealizar, juntamente com a CPA, oficinas para os coordenadores de cursos e demais interessados sobre os procedimentos da avaliação </w:t>
      </w:r>
      <w:r>
        <w:rPr>
          <w:i/>
          <w:color w:val="auto"/>
          <w:sz w:val="24"/>
          <w:szCs w:val="24"/>
        </w:rPr>
        <w:t>in loco</w:t>
      </w:r>
      <w:r>
        <w:rPr>
          <w:i/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Coordenação de Curso, submeter os Projetos Pedagógicos dos Cursos (PPC) para atualização permanente.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16.</w:t>
      </w:r>
      <w:r>
        <w:rPr>
          <w:color w:val="auto"/>
          <w:sz w:val="24"/>
          <w:szCs w:val="24"/>
        </w:rPr>
        <w:t xml:space="preserve"> No que se refere à dimensão infraestrutura, compete: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–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 xml:space="preserve">o Procurador Educacional Institucional (PI), acompanhar as demandas decorrentes do processo de avaliação </w:t>
      </w:r>
      <w:r>
        <w:rPr>
          <w:i/>
          <w:color w:val="auto"/>
          <w:sz w:val="24"/>
          <w:szCs w:val="24"/>
        </w:rPr>
        <w:t>in loco</w:t>
      </w:r>
      <w:r>
        <w:rPr>
          <w:color w:val="auto"/>
          <w:sz w:val="24"/>
          <w:szCs w:val="24"/>
        </w:rPr>
        <w:t xml:space="preserve"> referentes a infraestrutura e encaminhá-las às Direções de Centros e de Unidades Acadêmicas Especializadas e demais setores competentes na instituição;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II – às Direções de Centros e de Unidades Acadêmicas Especializadas, encaminhar e acompanhar a implantação das medidas visando a melhoria das condições de acessibilidade, rede, acervo bibliográfico, laboratórios e outras necessidades estruturais que impactam na construção dos indicadores.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Seção II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rPr>
          <w:b/>
          <w:i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Do Programa </w:t>
      </w:r>
      <w:r>
        <w:rPr>
          <w:b/>
          <w:color w:val="auto"/>
          <w:sz w:val="24"/>
          <w:szCs w:val="24"/>
        </w:rPr>
        <w:t xml:space="preserve">dos </w:t>
      </w:r>
      <w:r>
        <w:rPr>
          <w:b/>
          <w:bCs/>
          <w:color w:val="auto"/>
          <w:sz w:val="24"/>
          <w:szCs w:val="24"/>
        </w:rPr>
        <w:t xml:space="preserve">Cursos de Pós-Graduação </w:t>
      </w:r>
      <w:r>
        <w:rPr>
          <w:b/>
          <w:bCs/>
          <w:i/>
          <w:color w:val="auto"/>
          <w:sz w:val="24"/>
          <w:szCs w:val="24"/>
        </w:rPr>
        <w:t>Stricto sensu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center"/>
        <w:textAlignment w:val="auto"/>
        <w:rPr>
          <w:b/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Art. 17. </w:t>
      </w:r>
      <w:r>
        <w:rPr>
          <w:color w:val="auto"/>
          <w:sz w:val="24"/>
          <w:szCs w:val="24"/>
        </w:rPr>
        <w:t>O Programa de melhoria dos indicadores dos cursos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será coordenado pela Pró-Reitoria de Pós-Graduação (PPG) e acompanhado pela Comissão de Pós-Graduação, de acordo com os Conceitos CAPES dos programas.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</w:t>
      </w:r>
      <w:r>
        <w:rPr>
          <w:b/>
          <w:color w:val="auto"/>
          <w:sz w:val="24"/>
          <w:szCs w:val="24"/>
        </w:rPr>
        <w:t>Parágrafo único</w:t>
      </w:r>
      <w:r>
        <w:rPr>
          <w:color w:val="auto"/>
          <w:sz w:val="24"/>
          <w:szCs w:val="24"/>
        </w:rPr>
        <w:t xml:space="preserve">. As estratégias para melhoria dos indicadores de qualidade dos cursos de </w:t>
      </w:r>
      <w:r>
        <w:rPr>
          <w:color w:val="auto"/>
          <w:sz w:val="24"/>
          <w:szCs w:val="24"/>
          <w:lang w:val="pt-BR"/>
        </w:rPr>
        <w:t>P</w:t>
      </w:r>
      <w:r>
        <w:rPr>
          <w:color w:val="auto"/>
          <w:sz w:val="24"/>
          <w:szCs w:val="24"/>
        </w:rPr>
        <w:t>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 xml:space="preserve">raduação são objeto de programas específicos, desenvolvidos pela PPG. 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18.</w:t>
      </w:r>
      <w:r>
        <w:rPr>
          <w:color w:val="auto"/>
          <w:sz w:val="24"/>
          <w:szCs w:val="24"/>
        </w:rPr>
        <w:t xml:space="preserve"> Todos os programas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da UFRN deverão ter um Plano de Ação Quadrienal (PAQPG), propondo estratégias para enfrentamento das fragilidades e encaminhamentos de melhorias dos indicadores contemplando dois períodos de avaliação.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§1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Os Programas que não tiverem PAQPG aprovados não terão avaliadas as demandas de vagas estratégicas do Banco de Equivalentes da UFRN e não poderão participar nos editais institucionais de apoio.</w:t>
      </w:r>
    </w:p>
    <w:p>
      <w:pPr>
        <w:pStyle w:val="5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textAlignment w:val="auto"/>
        <w:rPr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§2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Caberá à Comissão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avaliar e acompanhar os PAQPG, em conjunto com a CPA.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19.</w:t>
      </w:r>
      <w:r>
        <w:rPr>
          <w:color w:val="auto"/>
          <w:sz w:val="24"/>
          <w:szCs w:val="24"/>
        </w:rPr>
        <w:t xml:space="preserve"> Os PAQPG deverão ser formalizados em processos pelas Coordenações de Programas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contendo, no mínimo, os seguintes tópicos: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–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nálise situacional;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– 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>bjetivos;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III –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nálise da ficha de avaliação e outros documentos disponíveis;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IV –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stratégias para melhoria dos indicadores, incluindo necessariamente: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lang w:val="pt-BR"/>
        </w:rPr>
        <w:t>a) me</w:t>
      </w:r>
      <w:r>
        <w:rPr>
          <w:color w:val="auto"/>
          <w:sz w:val="24"/>
          <w:szCs w:val="24"/>
        </w:rPr>
        <w:t>lhoria do impacto da produção intelectual;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lang w:val="pt-BR"/>
        </w:rPr>
        <w:t>b) q</w:t>
      </w:r>
      <w:r>
        <w:rPr>
          <w:color w:val="auto"/>
          <w:sz w:val="24"/>
          <w:szCs w:val="24"/>
        </w:rPr>
        <w:t>ualificação e ampliação da produção com os discentes;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lang w:val="pt-BR"/>
        </w:rPr>
        <w:t>c) i</w:t>
      </w:r>
      <w:r>
        <w:rPr>
          <w:color w:val="auto"/>
          <w:sz w:val="24"/>
          <w:szCs w:val="24"/>
        </w:rPr>
        <w:t>nserção social;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lang w:val="pt-BR"/>
        </w:rPr>
        <w:t>d) i</w:t>
      </w:r>
      <w:r>
        <w:rPr>
          <w:color w:val="auto"/>
          <w:sz w:val="24"/>
          <w:szCs w:val="24"/>
        </w:rPr>
        <w:t>nserção internacional;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lang w:val="pt-BR"/>
        </w:rPr>
        <w:t>e) a</w:t>
      </w:r>
      <w:r>
        <w:rPr>
          <w:color w:val="auto"/>
          <w:sz w:val="24"/>
          <w:szCs w:val="24"/>
        </w:rPr>
        <w:t>rticulação com a Graduação;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  <w:lang w:val="pt-BR"/>
        </w:rPr>
        <w:t>f) v</w:t>
      </w:r>
      <w:r>
        <w:rPr>
          <w:color w:val="auto"/>
          <w:sz w:val="24"/>
          <w:szCs w:val="24"/>
        </w:rPr>
        <w:t>isibilidade</w:t>
      </w:r>
      <w:r>
        <w:rPr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V – </w:t>
      </w:r>
      <w:r>
        <w:rPr>
          <w:color w:val="auto"/>
          <w:sz w:val="24"/>
          <w:szCs w:val="24"/>
          <w:lang w:val="pt-BR"/>
        </w:rPr>
        <w:t>c</w:t>
      </w:r>
      <w:r>
        <w:rPr>
          <w:color w:val="auto"/>
          <w:sz w:val="24"/>
          <w:szCs w:val="24"/>
        </w:rPr>
        <w:t>ronograma das ações e definição dos responsáveis;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VI – 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>esultados esperados para cada dimensão.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Art. 20.</w:t>
      </w:r>
      <w:r>
        <w:rPr>
          <w:color w:val="auto"/>
          <w:sz w:val="24"/>
          <w:szCs w:val="24"/>
        </w:rPr>
        <w:t xml:space="preserve"> Além do PAQPG, o</w:t>
      </w:r>
      <w:r>
        <w:rPr>
          <w:color w:val="auto"/>
          <w:sz w:val="24"/>
          <w:szCs w:val="24"/>
          <w:lang w:val="pt-BR"/>
        </w:rPr>
        <w:t>s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  <w:lang w:val="pt-BR"/>
        </w:rPr>
        <w:t>C</w:t>
      </w:r>
      <w:r>
        <w:rPr>
          <w:color w:val="auto"/>
          <w:sz w:val="24"/>
          <w:szCs w:val="24"/>
        </w:rPr>
        <w:t>olegiado</w:t>
      </w:r>
      <w:r>
        <w:rPr>
          <w:color w:val="auto"/>
          <w:sz w:val="24"/>
          <w:szCs w:val="24"/>
          <w:lang w:val="pt-BR"/>
        </w:rPr>
        <w:t>s</w:t>
      </w:r>
      <w:r>
        <w:rPr>
          <w:color w:val="auto"/>
          <w:sz w:val="24"/>
          <w:szCs w:val="24"/>
        </w:rPr>
        <w:t xml:space="preserve"> dos programas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 deve</w:t>
      </w:r>
      <w:r>
        <w:rPr>
          <w:color w:val="auto"/>
          <w:sz w:val="24"/>
          <w:szCs w:val="24"/>
          <w:lang w:val="pt-BR"/>
        </w:rPr>
        <w:t>ão</w:t>
      </w:r>
      <w:r>
        <w:rPr>
          <w:color w:val="auto"/>
          <w:sz w:val="24"/>
          <w:szCs w:val="24"/>
        </w:rPr>
        <w:t xml:space="preserve"> realizar a cada início de período de avaliação o recredenciamento de docentes, a partir de normas estabelecidas com base no documento de área da Capes.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 w:val="0"/>
          <w:bCs w:val="0"/>
          <w:color w:val="auto"/>
          <w:sz w:val="24"/>
          <w:szCs w:val="24"/>
        </w:rPr>
        <w:t xml:space="preserve"> §1</w:t>
      </w:r>
      <w:r>
        <w:rPr>
          <w:b w:val="0"/>
          <w:bCs w:val="0"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 w:val="0"/>
          <w:bCs w:val="0"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As normas e o resultado final deverão ser homologados pela Comissão de Pós-graduação da PPG/UFRN.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§2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b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A não realização do recredenciamento do corpo docente implicará na desconsideração das demandas de vagas estratégicas do Banco de Equivalentes e impedimento da participação nos editais institucionais de apoio.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20"/>
        <w:jc w:val="both"/>
        <w:textAlignment w:val="auto"/>
        <w:rPr>
          <w:b/>
          <w:color w:val="auto"/>
          <w:sz w:val="24"/>
          <w:szCs w:val="24"/>
        </w:rPr>
      </w:pPr>
      <w:r>
        <w:rPr>
          <w:b w:val="0"/>
          <w:bCs/>
          <w:color w:val="auto"/>
          <w:sz w:val="24"/>
          <w:szCs w:val="24"/>
        </w:rPr>
        <w:t>§3</w:t>
      </w:r>
      <w:r>
        <w:rPr>
          <w:b w:val="0"/>
          <w:bCs/>
          <w:color w:val="auto"/>
          <w:sz w:val="24"/>
          <w:szCs w:val="24"/>
          <w:u w:val="single"/>
          <w:vertAlign w:val="superscript"/>
          <w:lang w:val="pt-BR"/>
        </w:rPr>
        <w:t>o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  <w:lang w:val="pt-BR"/>
        </w:rPr>
        <w:t xml:space="preserve">O </w:t>
      </w:r>
      <w:r>
        <w:rPr>
          <w:color w:val="auto"/>
          <w:sz w:val="24"/>
          <w:szCs w:val="24"/>
        </w:rPr>
        <w:t>credenciamento de novos docentes poderá ocorrer ao longo do período quadrienal com critérios de credenciamento estabelecidos pelo colegiado do programa e homologados pela PPG/UFRN.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Art. 21. </w:t>
      </w:r>
      <w:r>
        <w:rPr>
          <w:color w:val="auto"/>
          <w:sz w:val="24"/>
          <w:szCs w:val="24"/>
        </w:rPr>
        <w:t>No que se refere ao PAQPG, compete: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PPG: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a) O</w:t>
      </w:r>
      <w:r>
        <w:rPr>
          <w:color w:val="auto"/>
          <w:sz w:val="24"/>
          <w:szCs w:val="24"/>
          <w:lang w:val="pt-BR"/>
        </w:rPr>
        <w:t>o</w:t>
      </w:r>
      <w:r>
        <w:rPr>
          <w:color w:val="auto"/>
          <w:sz w:val="24"/>
          <w:szCs w:val="24"/>
        </w:rPr>
        <w:t>rientar a elaboração do PAQPG pelos programas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</w:t>
      </w:r>
      <w:r>
        <w:rPr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r</w:t>
      </w:r>
      <w:r>
        <w:rPr>
          <w:color w:val="auto"/>
          <w:sz w:val="24"/>
          <w:szCs w:val="24"/>
        </w:rPr>
        <w:t>ealizar anualmente o Seminário Sucupira para acompanhamento das metas do PAQPG</w:t>
      </w:r>
      <w:r>
        <w:rPr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Coordenação de Programa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a) E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 xml:space="preserve">laborar o PAQPG juntamente com o </w:t>
      </w:r>
      <w:r>
        <w:rPr>
          <w:color w:val="auto"/>
          <w:sz w:val="24"/>
          <w:szCs w:val="24"/>
          <w:lang w:val="pt-BR"/>
        </w:rPr>
        <w:t>C</w:t>
      </w:r>
      <w:r>
        <w:rPr>
          <w:color w:val="auto"/>
          <w:sz w:val="24"/>
          <w:szCs w:val="24"/>
        </w:rPr>
        <w:t>olegiado, a partir da análise da ficha de avaliação (Capes), autoavaliação e documento de área da CAPES, entre outros;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s</w:t>
      </w:r>
      <w:r>
        <w:rPr>
          <w:color w:val="auto"/>
          <w:sz w:val="24"/>
          <w:szCs w:val="24"/>
        </w:rPr>
        <w:t>ubmeter o PAQPG à aprovação da Comissão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c) </w:t>
      </w:r>
      <w:r>
        <w:rPr>
          <w:color w:val="auto"/>
          <w:sz w:val="24"/>
          <w:szCs w:val="24"/>
          <w:lang w:val="pt-BR"/>
        </w:rPr>
        <w:t>c</w:t>
      </w:r>
      <w:r>
        <w:rPr>
          <w:color w:val="auto"/>
          <w:sz w:val="24"/>
          <w:szCs w:val="24"/>
        </w:rPr>
        <w:t>oordenar junto ao Programa a execução das ações previstas no PAQPG;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d) </w:t>
      </w:r>
      <w:r>
        <w:rPr>
          <w:color w:val="auto"/>
          <w:sz w:val="24"/>
          <w:szCs w:val="24"/>
          <w:lang w:val="pt-BR"/>
        </w:rPr>
        <w:t>m</w:t>
      </w:r>
      <w:r>
        <w:rPr>
          <w:color w:val="auto"/>
          <w:sz w:val="24"/>
          <w:szCs w:val="24"/>
        </w:rPr>
        <w:t>anter as informações do Programa atualizadas na Plataforma Sucupira de maneira a refletir as estratégias delineadas no seu PAQPG;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e)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ncaminhar relatório anual à PPG, após aprovação pelo Colegiado do Curso</w:t>
      </w:r>
      <w:r>
        <w:rPr>
          <w:color w:val="auto"/>
          <w:sz w:val="24"/>
          <w:szCs w:val="24"/>
          <w:lang w:val="pt-BR"/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III - </w:t>
      </w:r>
      <w:r>
        <w:rPr>
          <w:color w:val="auto"/>
          <w:sz w:val="24"/>
          <w:szCs w:val="24"/>
          <w:lang w:val="pt-BR"/>
        </w:rPr>
        <w:t>à</w:t>
      </w:r>
      <w:r>
        <w:rPr>
          <w:color w:val="auto"/>
          <w:sz w:val="24"/>
          <w:szCs w:val="24"/>
        </w:rPr>
        <w:t xml:space="preserve"> Comissão de Pós-</w:t>
      </w:r>
      <w:r>
        <w:rPr>
          <w:color w:val="auto"/>
          <w:sz w:val="24"/>
          <w:szCs w:val="24"/>
          <w:lang w:val="pt-BR"/>
        </w:rPr>
        <w:t>G</w:t>
      </w:r>
      <w:r>
        <w:rPr>
          <w:color w:val="auto"/>
          <w:sz w:val="24"/>
          <w:szCs w:val="24"/>
        </w:rPr>
        <w:t>raduação: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a) </w:t>
      </w:r>
      <w:r>
        <w:rPr>
          <w:color w:val="auto"/>
          <w:sz w:val="24"/>
          <w:szCs w:val="24"/>
          <w:lang w:val="pt-BR"/>
        </w:rPr>
        <w:t>e</w:t>
      </w:r>
      <w:r>
        <w:rPr>
          <w:color w:val="auto"/>
          <w:sz w:val="24"/>
          <w:szCs w:val="24"/>
        </w:rPr>
        <w:t>mitir parecer técnico sobre os PAQPG;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 w:firstLine="708"/>
        <w:jc w:val="both"/>
        <w:textAlignment w:val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b) </w:t>
      </w:r>
      <w:r>
        <w:rPr>
          <w:color w:val="auto"/>
          <w:sz w:val="24"/>
          <w:szCs w:val="24"/>
          <w:lang w:val="pt-BR"/>
        </w:rPr>
        <w:t>a</w:t>
      </w:r>
      <w:r>
        <w:rPr>
          <w:color w:val="auto"/>
          <w:sz w:val="24"/>
          <w:szCs w:val="24"/>
        </w:rPr>
        <w:t>companhar a execução dos PAQPG.</w:t>
      </w:r>
    </w:p>
    <w:p>
      <w:pPr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textAlignment w:val="auto"/>
        <w:rPr>
          <w:b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both"/>
        <w:textAlignment w:val="auto"/>
        <w:outlineLvl w:val="9"/>
        <w:rPr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right="0" w:rightChars="0"/>
        <w:jc w:val="both"/>
        <w:textAlignment w:val="auto"/>
        <w:outlineLvl w:val="9"/>
        <w:rPr>
          <w:color w:val="auto"/>
          <w:sz w:val="24"/>
          <w:szCs w:val="24"/>
        </w:rPr>
      </w:pPr>
    </w:p>
    <w:sectPr>
      <w:pgSz w:w="11907" w:h="16840"/>
      <w:pgMar w:top="425" w:right="1134" w:bottom="215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MS Gothic">
    <w:panose1 w:val="020B0609070205080204"/>
    <w:charset w:val="4E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4E"/>
    <w:family w:val="auto"/>
    <w:pitch w:val="default"/>
    <w:sig w:usb0="E00002FF" w:usb1="6AC7FDFB" w:usb2="00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DejaVu Sans">
    <w:panose1 w:val="020B0603030804020204"/>
    <w:charset w:val="00"/>
    <w:family w:val="swiss"/>
    <w:pitch w:val="default"/>
    <w:sig w:usb0="E7006EFF" w:usb1="D200FDFF" w:usb2="0A246029" w:usb3="0400200C" w:csb0="600001FF" w:csb1="FFFF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Caladea">
    <w:panose1 w:val="02000506000000020000"/>
    <w:charset w:val="00"/>
    <w:family w:val="auto"/>
    <w:pitch w:val="default"/>
    <w:sig w:usb0="00000007" w:usb1="00000000" w:usb2="00000000" w:usb3="00000000" w:csb0="20000093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708"/>
  <w:hyphenationZone w:val="425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D4"/>
    <w:rsid w:val="0000451C"/>
    <w:rsid w:val="00013F29"/>
    <w:rsid w:val="000153ED"/>
    <w:rsid w:val="00016DC3"/>
    <w:rsid w:val="00017A53"/>
    <w:rsid w:val="000233D5"/>
    <w:rsid w:val="0002764E"/>
    <w:rsid w:val="00030BA5"/>
    <w:rsid w:val="00054B14"/>
    <w:rsid w:val="00061EBB"/>
    <w:rsid w:val="0006397A"/>
    <w:rsid w:val="0006635A"/>
    <w:rsid w:val="00075331"/>
    <w:rsid w:val="00082BB1"/>
    <w:rsid w:val="00092AF2"/>
    <w:rsid w:val="0009786A"/>
    <w:rsid w:val="000B4462"/>
    <w:rsid w:val="000B6DEE"/>
    <w:rsid w:val="000B71D4"/>
    <w:rsid w:val="000D0588"/>
    <w:rsid w:val="000E22C0"/>
    <w:rsid w:val="0012696A"/>
    <w:rsid w:val="00127F8D"/>
    <w:rsid w:val="00150EE4"/>
    <w:rsid w:val="00167D38"/>
    <w:rsid w:val="00170E27"/>
    <w:rsid w:val="00193ECD"/>
    <w:rsid w:val="001C11C0"/>
    <w:rsid w:val="001D6C35"/>
    <w:rsid w:val="001E341B"/>
    <w:rsid w:val="001F205E"/>
    <w:rsid w:val="002134E8"/>
    <w:rsid w:val="00213E36"/>
    <w:rsid w:val="00214EEE"/>
    <w:rsid w:val="00222B9A"/>
    <w:rsid w:val="00223F96"/>
    <w:rsid w:val="00236303"/>
    <w:rsid w:val="00236508"/>
    <w:rsid w:val="00270F6D"/>
    <w:rsid w:val="00272D15"/>
    <w:rsid w:val="00290967"/>
    <w:rsid w:val="0029184F"/>
    <w:rsid w:val="00296793"/>
    <w:rsid w:val="002A2732"/>
    <w:rsid w:val="002D444F"/>
    <w:rsid w:val="002F5293"/>
    <w:rsid w:val="00310647"/>
    <w:rsid w:val="00315E10"/>
    <w:rsid w:val="00324EF8"/>
    <w:rsid w:val="00346B4D"/>
    <w:rsid w:val="00346DAA"/>
    <w:rsid w:val="00354AE0"/>
    <w:rsid w:val="00391F16"/>
    <w:rsid w:val="003A1A6C"/>
    <w:rsid w:val="003C13E8"/>
    <w:rsid w:val="00407CA3"/>
    <w:rsid w:val="00423CFF"/>
    <w:rsid w:val="00433C99"/>
    <w:rsid w:val="00445F3C"/>
    <w:rsid w:val="004634E2"/>
    <w:rsid w:val="0047356E"/>
    <w:rsid w:val="00481F7B"/>
    <w:rsid w:val="004875D5"/>
    <w:rsid w:val="004921D7"/>
    <w:rsid w:val="00492337"/>
    <w:rsid w:val="004A513E"/>
    <w:rsid w:val="004B63CC"/>
    <w:rsid w:val="004C5F96"/>
    <w:rsid w:val="004C7207"/>
    <w:rsid w:val="004D4204"/>
    <w:rsid w:val="004D441B"/>
    <w:rsid w:val="004E6203"/>
    <w:rsid w:val="00507223"/>
    <w:rsid w:val="00512B67"/>
    <w:rsid w:val="00530ACB"/>
    <w:rsid w:val="005526D2"/>
    <w:rsid w:val="00564334"/>
    <w:rsid w:val="00583B57"/>
    <w:rsid w:val="0058466F"/>
    <w:rsid w:val="005969D5"/>
    <w:rsid w:val="00596BC2"/>
    <w:rsid w:val="005B3EC7"/>
    <w:rsid w:val="005F3DF0"/>
    <w:rsid w:val="0060313A"/>
    <w:rsid w:val="00606885"/>
    <w:rsid w:val="0060790E"/>
    <w:rsid w:val="006236BB"/>
    <w:rsid w:val="0062453E"/>
    <w:rsid w:val="0062748D"/>
    <w:rsid w:val="00633E43"/>
    <w:rsid w:val="0065160F"/>
    <w:rsid w:val="00652A7C"/>
    <w:rsid w:val="00665518"/>
    <w:rsid w:val="00672EF4"/>
    <w:rsid w:val="00673637"/>
    <w:rsid w:val="006A5D44"/>
    <w:rsid w:val="006B03E9"/>
    <w:rsid w:val="006D2845"/>
    <w:rsid w:val="006E7F51"/>
    <w:rsid w:val="007006EB"/>
    <w:rsid w:val="00704225"/>
    <w:rsid w:val="00705C6B"/>
    <w:rsid w:val="00712476"/>
    <w:rsid w:val="00737D01"/>
    <w:rsid w:val="0074468C"/>
    <w:rsid w:val="0074663E"/>
    <w:rsid w:val="00756094"/>
    <w:rsid w:val="00761031"/>
    <w:rsid w:val="0077517C"/>
    <w:rsid w:val="00776FF2"/>
    <w:rsid w:val="007870F9"/>
    <w:rsid w:val="00790024"/>
    <w:rsid w:val="007A201E"/>
    <w:rsid w:val="007A78D2"/>
    <w:rsid w:val="007C261A"/>
    <w:rsid w:val="007D30FA"/>
    <w:rsid w:val="007E3261"/>
    <w:rsid w:val="008044C8"/>
    <w:rsid w:val="008124DA"/>
    <w:rsid w:val="00813E22"/>
    <w:rsid w:val="00816B2C"/>
    <w:rsid w:val="008362A3"/>
    <w:rsid w:val="0085033C"/>
    <w:rsid w:val="008521EC"/>
    <w:rsid w:val="00855AAC"/>
    <w:rsid w:val="00866C3A"/>
    <w:rsid w:val="00870C10"/>
    <w:rsid w:val="00897615"/>
    <w:rsid w:val="00897B0D"/>
    <w:rsid w:val="008B4827"/>
    <w:rsid w:val="008C51D3"/>
    <w:rsid w:val="008E4041"/>
    <w:rsid w:val="008F69C4"/>
    <w:rsid w:val="00903902"/>
    <w:rsid w:val="009111A7"/>
    <w:rsid w:val="00911E15"/>
    <w:rsid w:val="0093736D"/>
    <w:rsid w:val="00950B47"/>
    <w:rsid w:val="0097301F"/>
    <w:rsid w:val="00995079"/>
    <w:rsid w:val="00997FBC"/>
    <w:rsid w:val="009B0370"/>
    <w:rsid w:val="009B4FA5"/>
    <w:rsid w:val="009B5696"/>
    <w:rsid w:val="009C051E"/>
    <w:rsid w:val="009C5AC6"/>
    <w:rsid w:val="009D70F3"/>
    <w:rsid w:val="009E2121"/>
    <w:rsid w:val="00A03F47"/>
    <w:rsid w:val="00A12BAB"/>
    <w:rsid w:val="00A22AEA"/>
    <w:rsid w:val="00A3734A"/>
    <w:rsid w:val="00A43A66"/>
    <w:rsid w:val="00A46F71"/>
    <w:rsid w:val="00A65C41"/>
    <w:rsid w:val="00A6669F"/>
    <w:rsid w:val="00A710B7"/>
    <w:rsid w:val="00A9462A"/>
    <w:rsid w:val="00AA2CEB"/>
    <w:rsid w:val="00AB45E8"/>
    <w:rsid w:val="00AC0DC3"/>
    <w:rsid w:val="00AC4845"/>
    <w:rsid w:val="00AE21B3"/>
    <w:rsid w:val="00AF3AE0"/>
    <w:rsid w:val="00AF546A"/>
    <w:rsid w:val="00AF6974"/>
    <w:rsid w:val="00AF781D"/>
    <w:rsid w:val="00B13051"/>
    <w:rsid w:val="00B14604"/>
    <w:rsid w:val="00B22791"/>
    <w:rsid w:val="00B257CF"/>
    <w:rsid w:val="00B414E2"/>
    <w:rsid w:val="00B543E6"/>
    <w:rsid w:val="00B574AD"/>
    <w:rsid w:val="00B64218"/>
    <w:rsid w:val="00B71F59"/>
    <w:rsid w:val="00B779A7"/>
    <w:rsid w:val="00B8266B"/>
    <w:rsid w:val="00B8492B"/>
    <w:rsid w:val="00B976BE"/>
    <w:rsid w:val="00BD30C5"/>
    <w:rsid w:val="00BE23AC"/>
    <w:rsid w:val="00BF283F"/>
    <w:rsid w:val="00C108BF"/>
    <w:rsid w:val="00C1660A"/>
    <w:rsid w:val="00C16C02"/>
    <w:rsid w:val="00C204C0"/>
    <w:rsid w:val="00C21F99"/>
    <w:rsid w:val="00C30874"/>
    <w:rsid w:val="00C42188"/>
    <w:rsid w:val="00C52A9F"/>
    <w:rsid w:val="00C5354F"/>
    <w:rsid w:val="00C71331"/>
    <w:rsid w:val="00C74EF7"/>
    <w:rsid w:val="00C87DD6"/>
    <w:rsid w:val="00CC4A5A"/>
    <w:rsid w:val="00CC7FCE"/>
    <w:rsid w:val="00CD3A4E"/>
    <w:rsid w:val="00CD637F"/>
    <w:rsid w:val="00CE7DC8"/>
    <w:rsid w:val="00CF2034"/>
    <w:rsid w:val="00D00332"/>
    <w:rsid w:val="00D200A0"/>
    <w:rsid w:val="00D27983"/>
    <w:rsid w:val="00D344B4"/>
    <w:rsid w:val="00D535FC"/>
    <w:rsid w:val="00D64C6D"/>
    <w:rsid w:val="00D6774E"/>
    <w:rsid w:val="00D77E45"/>
    <w:rsid w:val="00D92659"/>
    <w:rsid w:val="00DA3ED2"/>
    <w:rsid w:val="00DA5434"/>
    <w:rsid w:val="00DB1BF6"/>
    <w:rsid w:val="00DD2410"/>
    <w:rsid w:val="00E13BDC"/>
    <w:rsid w:val="00E46BCB"/>
    <w:rsid w:val="00E75704"/>
    <w:rsid w:val="00E75B11"/>
    <w:rsid w:val="00E86162"/>
    <w:rsid w:val="00E86A97"/>
    <w:rsid w:val="00EA08A2"/>
    <w:rsid w:val="00EB381D"/>
    <w:rsid w:val="00F03AEA"/>
    <w:rsid w:val="00F066A1"/>
    <w:rsid w:val="00F30039"/>
    <w:rsid w:val="00F359E2"/>
    <w:rsid w:val="00F56E65"/>
    <w:rsid w:val="00F6601D"/>
    <w:rsid w:val="00F717DF"/>
    <w:rsid w:val="00F81D14"/>
    <w:rsid w:val="00FA0AF6"/>
    <w:rsid w:val="00FA378B"/>
    <w:rsid w:val="00FB29A7"/>
    <w:rsid w:val="00FB5106"/>
    <w:rsid w:val="00FB567C"/>
    <w:rsid w:val="00FC459E"/>
    <w:rsid w:val="00FD105F"/>
    <w:rsid w:val="00FE3352"/>
    <w:rsid w:val="00FE4333"/>
    <w:rsid w:val="00FE5566"/>
    <w:rsid w:val="00FE6142"/>
    <w:rsid w:val="1DC5690B"/>
    <w:rsid w:val="2992606D"/>
    <w:rsid w:val="403C35B2"/>
    <w:rsid w:val="63810921"/>
    <w:rsid w:val="74F86C05"/>
    <w:rsid w:val="759017D5"/>
    <w:rsid w:val="7C68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jc w:val="both"/>
    </w:pPr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right"/>
      <w:outlineLvl w:val="0"/>
    </w:pPr>
    <w:rPr>
      <w:sz w:val="28"/>
      <w:u w:val="single"/>
    </w:rPr>
  </w:style>
  <w:style w:type="paragraph" w:styleId="3">
    <w:name w:val="heading 3"/>
    <w:basedOn w:val="1"/>
    <w:next w:val="1"/>
    <w:unhideWhenUsed/>
    <w:qFormat/>
    <w:uiPriority w:val="0"/>
    <w:pPr>
      <w:keepNext/>
      <w:jc w:val="center"/>
      <w:outlineLvl w:val="2"/>
    </w:pPr>
    <w:rPr>
      <w:b/>
      <w:sz w:val="22"/>
    </w:rPr>
  </w:style>
  <w:style w:type="character" w:default="1" w:styleId="9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uiPriority w:val="0"/>
    <w:pPr>
      <w:jc w:val="both"/>
    </w:pPr>
  </w:style>
  <w:style w:type="paragraph" w:styleId="6">
    <w:name w:val="Body Text Indent"/>
    <w:basedOn w:val="1"/>
    <w:uiPriority w:val="0"/>
    <w:pPr>
      <w:spacing w:before="40" w:after="40" w:line="240" w:lineRule="exact"/>
      <w:ind w:firstLine="708"/>
    </w:pPr>
    <w:rPr>
      <w:sz w:val="24"/>
      <w:szCs w:val="24"/>
    </w:rPr>
  </w:style>
  <w:style w:type="paragraph" w:styleId="7">
    <w:name w:val="Body Text Indent 2"/>
    <w:basedOn w:val="1"/>
    <w:uiPriority w:val="0"/>
    <w:pPr>
      <w:ind w:left="3544"/>
    </w:pPr>
    <w:rPr>
      <w:sz w:val="24"/>
    </w:rPr>
  </w:style>
  <w:style w:type="paragraph" w:styleId="8">
    <w:name w:val="Body Text Indent 3"/>
    <w:basedOn w:val="1"/>
    <w:uiPriority w:val="0"/>
    <w:pPr>
      <w:spacing w:after="120"/>
      <w:ind w:left="283"/>
    </w:pPr>
    <w:rPr>
      <w:sz w:val="16"/>
      <w:szCs w:val="16"/>
    </w:rPr>
  </w:style>
  <w:style w:type="character" w:customStyle="1" w:styleId="11">
    <w:name w:val="Texto de balão Char"/>
    <w:basedOn w:val="9"/>
    <w:link w:val="4"/>
    <w:qFormat/>
    <w:uiPriority w:val="0"/>
    <w:rPr>
      <w:rFonts w:ascii="Tahoma" w:hAnsi="Tahoma" w:cs="Tahoma"/>
      <w:sz w:val="16"/>
      <w:szCs w:val="16"/>
    </w:rPr>
  </w:style>
  <w:style w:type="paragraph" w:customStyle="1" w:styleId="12">
    <w:name w:val="Parágrafo da Lista1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579822-D062-45C6-9DA4-7645A263BA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UFRN</Company>
  <Pages>1</Pages>
  <Words>256</Words>
  <Characters>1479</Characters>
  <Lines>12</Lines>
  <Paragraphs>3</Paragraphs>
  <ScaleCrop>false</ScaleCrop>
  <LinksUpToDate>false</LinksUpToDate>
  <CharactersWithSpaces>1732</CharactersWithSpaces>
  <Application>WPS Office_10.2.0.5978_F1E327BC-269C-435d-A152-05C5408002CA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2017-11-16T10:45:00Z</dcterms:created>
  <dc:creator>Colegiados</dc:creator>
  <cp:lastModifiedBy>ilana.farias</cp:lastModifiedBy>
  <cp:lastPrinted>2017-11-20T14:15:52Z</cp:lastPrinted>
  <dcterms:modified xsi:type="dcterms:W3CDTF">2017-11-20T14:17:01Z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