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UNIVERSIDADE FEDERAL DO RIO GRANDE DO NORTE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CENTRO DE CIÊNCIAS, HUMANAS LETRAS E ARTES</w:t>
      </w: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PROGRAMA DE PÓS-GRADUAÇÃO EM </w:t>
      </w:r>
      <w:r w:rsidR="00B73AE4">
        <w:rPr>
          <w:rFonts w:ascii="TTFF2DF4F8t00" w:hAnsi="TTFF2DF4F8t00" w:cs="TTFF2DF4F8t00"/>
          <w:sz w:val="21"/>
          <w:szCs w:val="21"/>
          <w:lang w:val="pt-BR"/>
        </w:rPr>
        <w:t>ESTUDOS URBANOS E REGIONAIS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935168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RESOLUÇÃO Nº 01</w:t>
      </w:r>
      <w:r w:rsidR="00EF16CE">
        <w:rPr>
          <w:rFonts w:ascii="TTFF2DF4F8t00" w:hAnsi="TTFF2DF4F8t00" w:cs="TTFF2DF4F8t00"/>
          <w:sz w:val="21"/>
          <w:szCs w:val="21"/>
          <w:lang w:val="pt-BR"/>
        </w:rPr>
        <w:t>/2010, de 04 de fevereiro de 2010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Dispõe sobre as normas regimentais de concessão e regulamentação de bolsas de estudos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pa</w:t>
      </w:r>
      <w:r>
        <w:rPr>
          <w:rFonts w:ascii="TTFF2DF4F8t00" w:hAnsi="TTFF2DF4F8t00" w:cs="TTFF2DF4F8t00"/>
          <w:sz w:val="21"/>
          <w:szCs w:val="21"/>
          <w:lang w:val="pt-BR"/>
        </w:rPr>
        <w:t>ra discentes regulares do PPEUR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– Programa d</w:t>
      </w:r>
      <w:r>
        <w:rPr>
          <w:rFonts w:ascii="TTFF2DF4F8t00" w:hAnsi="TTFF2DF4F8t00" w:cs="TTFF2DF4F8t00"/>
          <w:sz w:val="21"/>
          <w:szCs w:val="21"/>
          <w:lang w:val="pt-BR"/>
        </w:rPr>
        <w:t>e Pós-Graduação em Estudos Urbanos e Regionais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9A5A6B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O Colegiado de C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urso d</w:t>
      </w:r>
      <w:r>
        <w:rPr>
          <w:rFonts w:ascii="TTFF2DF4F8t00" w:hAnsi="TTFF2DF4F8t00" w:cs="TTFF2DF4F8t00"/>
          <w:sz w:val="21"/>
          <w:szCs w:val="21"/>
          <w:lang w:val="pt-BR"/>
        </w:rPr>
        <w:t>o</w:t>
      </w:r>
      <w:r w:rsidR="00EF16CE">
        <w:rPr>
          <w:rFonts w:ascii="TTFF2DF4F8t00" w:hAnsi="TTFF2DF4F8t00" w:cs="TTFF2DF4F8t00"/>
          <w:sz w:val="21"/>
          <w:szCs w:val="21"/>
          <w:lang w:val="pt-BR"/>
        </w:rPr>
        <w:t xml:space="preserve"> P</w:t>
      </w:r>
      <w:r>
        <w:rPr>
          <w:rFonts w:ascii="TTFF2DF4F8t00" w:hAnsi="TTFF2DF4F8t00" w:cs="TTFF2DF4F8t00"/>
          <w:sz w:val="21"/>
          <w:szCs w:val="21"/>
          <w:lang w:val="pt-BR"/>
        </w:rPr>
        <w:t>PEUR, em reunião plenária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realizada</w:t>
      </w:r>
      <w:r w:rsidR="00EF16CE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em 16 de fevereiro 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de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2009, resolve: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Art. 1º Podem concorrer a uma quota de </w:t>
      </w:r>
      <w:r w:rsidR="00935168">
        <w:rPr>
          <w:rFonts w:ascii="TTFF2DF4F8t00" w:hAnsi="TTFF2DF4F8t00" w:cs="TTFF2DF4F8t00"/>
          <w:sz w:val="21"/>
          <w:szCs w:val="21"/>
          <w:lang w:val="pt-BR"/>
        </w:rPr>
        <w:t>bolsa de estudos, CAPES/CNPq/PPG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ou qualquer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órgão de fomento, os alunos regularmente matriculados neste programa, sem quaisquer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vínculos empregatícios ou detentores de outras modalidades de bolsa, e que atendam a todos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os requisitos constantes nas exigências daqueles órgãos financiadores.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Parágrafo Único. O auxílio-tese corresponde ao valor de uma mensalidade da bolsa, vigente no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mês de repasse da CAPES </w:t>
      </w:r>
      <w:proofErr w:type="gramStart"/>
      <w:r w:rsidRPr="00EF16CE">
        <w:rPr>
          <w:rFonts w:ascii="TTFF2DF4F8t00" w:hAnsi="TTFF2DF4F8t00" w:cs="TTFF2DF4F8t00"/>
          <w:sz w:val="21"/>
          <w:szCs w:val="21"/>
          <w:lang w:val="pt-BR"/>
        </w:rPr>
        <w:t>à</w:t>
      </w:r>
      <w:proofErr w:type="gramEnd"/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instituição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, e se destina à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cobertura das despesas referentes à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confecção da d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issertação ou tese, sendo pago exclusivamente a quem detenha a condição de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bolsista CAPES.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Art. 2º Os discentes de pós-graduação, regularmente matriculados e que atendam às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exigências previstas nos itens anteriores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,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poderão ser contemplados com quota de bolsa até o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3º s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emestre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 xml:space="preserve"> de sua entrada no Programa. Nesse caso, a quota a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ser concedida não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poderá ultrapassar o tempo exigido pelo Regimento do Programa para término de sua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dissertação de m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estrado (24 meses), computados a parti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r da data de entrada no PPEUR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Art. 3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º A distribuição das quotas de bolsas obedecerá aos seguintes requisitos: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I – Ordem d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 xml:space="preserve">e classificação,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a 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partir da nota final obtida no p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rocesso seletivo;</w:t>
      </w:r>
    </w:p>
    <w:p w:rsid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II – Caso o discente já tenha iniciado o curso e deseje pleitea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 xml:space="preserve">r a quota de bolsa, </w:t>
      </w:r>
      <w:proofErr w:type="gramStart"/>
      <w:r w:rsidR="009A5A6B">
        <w:rPr>
          <w:rFonts w:ascii="TTFF2DF4F8t00" w:hAnsi="TTFF2DF4F8t00" w:cs="TTFF2DF4F8t00"/>
          <w:sz w:val="21"/>
          <w:szCs w:val="21"/>
          <w:lang w:val="pt-BR"/>
        </w:rPr>
        <w:t xml:space="preserve">obedecidos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os</w:t>
      </w:r>
      <w:proofErr w:type="gramEnd"/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prazos estipulados nos Art. 2º e 3º desta Resolução, os mesmos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não podem apresentar reprovações em seus conceitos.</w:t>
      </w:r>
    </w:p>
    <w:p w:rsidR="009A5A6B" w:rsidRDefault="009A5A6B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9A5A6B" w:rsidRPr="00EF16CE" w:rsidRDefault="009A5A6B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lastRenderedPageBreak/>
        <w:t>III – Recomenda-se aos discentes que já tenham iniciado o curso o conceito “A” ou nota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equivalente em seus históricos de acordo com a seguinte tabela:</w:t>
      </w:r>
    </w:p>
    <w:tbl>
      <w:tblPr>
        <w:tblStyle w:val="Tabelacomgrade"/>
        <w:tblW w:w="0" w:type="auto"/>
        <w:tblInd w:w="378" w:type="dxa"/>
        <w:tblLook w:val="04A0"/>
      </w:tblPr>
      <w:tblGrid>
        <w:gridCol w:w="630"/>
        <w:gridCol w:w="2520"/>
        <w:gridCol w:w="1170"/>
      </w:tblGrid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A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Excelente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9,0 – 10</w:t>
            </w:r>
          </w:p>
        </w:tc>
      </w:tr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B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Bom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8,0 – 8,9</w:t>
            </w:r>
          </w:p>
        </w:tc>
      </w:tr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C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Suficiente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7,0 – 7,9</w:t>
            </w:r>
          </w:p>
        </w:tc>
      </w:tr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D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Fraco</w:t>
            </w:r>
            <w:r>
              <w:rPr>
                <w:rFonts w:ascii="TTFF2DF4F8t00" w:hAnsi="TTFF2DF4F8t00" w:cs="TTFF2DF4F8t00"/>
                <w:sz w:val="17"/>
                <w:szCs w:val="17"/>
                <w:lang w:val="pt-BR"/>
              </w:rPr>
              <w:t xml:space="preserve"> </w:t>
            </w: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(Reprovado)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5,0 – 6,9</w:t>
            </w:r>
          </w:p>
        </w:tc>
      </w:tr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E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>
              <w:rPr>
                <w:rFonts w:ascii="TTFF2DF4F8t00" w:hAnsi="TTFF2DF4F8t00" w:cs="TTFF2DF4F8t00"/>
                <w:sz w:val="17"/>
                <w:szCs w:val="17"/>
                <w:lang w:val="pt-BR"/>
              </w:rPr>
              <w:t xml:space="preserve">Insuficiente </w:t>
            </w: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(Reprovado)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0,0 – 4,9</w:t>
            </w:r>
          </w:p>
        </w:tc>
      </w:tr>
      <w:tr w:rsidR="00EF16CE" w:rsidTr="00AB591A">
        <w:tc>
          <w:tcPr>
            <w:tcW w:w="63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F</w:t>
            </w:r>
          </w:p>
        </w:tc>
        <w:tc>
          <w:tcPr>
            <w:tcW w:w="252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  <w:r>
              <w:rPr>
                <w:rFonts w:ascii="TTFF2DF4F8t00" w:hAnsi="TTFF2DF4F8t00" w:cs="TTFF2DF4F8t00"/>
                <w:sz w:val="17"/>
                <w:szCs w:val="17"/>
                <w:lang w:val="pt-BR"/>
              </w:rPr>
              <w:t xml:space="preserve">Reprovado </w:t>
            </w:r>
            <w:r w:rsidRPr="00EF16CE">
              <w:rPr>
                <w:rFonts w:ascii="TTFF2DF4F8t00" w:hAnsi="TTFF2DF4F8t00" w:cs="TTFF2DF4F8t00"/>
                <w:sz w:val="17"/>
                <w:szCs w:val="17"/>
                <w:lang w:val="pt-BR"/>
              </w:rPr>
              <w:t>por Falta</w:t>
            </w:r>
          </w:p>
        </w:tc>
        <w:tc>
          <w:tcPr>
            <w:tcW w:w="1170" w:type="dxa"/>
          </w:tcPr>
          <w:p w:rsidR="00EF16CE" w:rsidRDefault="00EF16CE" w:rsidP="009A5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TFF2DF4F8t00" w:hAnsi="TTFF2DF4F8t00" w:cs="TTFF2DF4F8t00"/>
                <w:sz w:val="17"/>
                <w:szCs w:val="17"/>
                <w:lang w:val="pt-BR"/>
              </w:rPr>
            </w:pPr>
          </w:p>
        </w:tc>
      </w:tr>
    </w:tbl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17"/>
          <w:szCs w:val="17"/>
          <w:lang w:val="pt-BR"/>
        </w:rPr>
      </w:pP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IV – Dedicação integral às 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atividades da pós-g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raduação;</w:t>
      </w:r>
    </w:p>
    <w:p w:rsidR="00EF16CE" w:rsidRPr="00EF16CE" w:rsidRDefault="009A5A6B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V – Caso o discente possua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vínculo empregatício, estar liberado oficialmente das atividades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profissionais sem percepção de vencimentos;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VI – Não acumular o recebimento da bolsa com quaisquer outras modalidades de bolsa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advindas de agência e/ou órgão de fomento local, nacional ou internacional;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VII – Não possuir qualquer relação de trabalho com 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Instituição promotora do PPEUR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VIII – Não ser aposentado ou em situação equiparada;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IX – Restar, quando da concessão da bolsa, do exercício laboral por tempo não inferior a oito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anos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para obtenção da aposentadoria voluntária, conforme concorra à bolsa de</w:t>
      </w:r>
    </w:p>
    <w:p w:rsidR="00EF16CE" w:rsidRPr="00EF16CE" w:rsidRDefault="009A5A6B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proofErr w:type="gramStart"/>
      <w:r>
        <w:rPr>
          <w:rFonts w:ascii="TTFF2DF4F8t00" w:hAnsi="TTFF2DF4F8t00" w:cs="TTFF2DF4F8t00"/>
          <w:sz w:val="21"/>
          <w:szCs w:val="21"/>
          <w:lang w:val="pt-BR"/>
        </w:rPr>
        <w:t>m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estrado</w:t>
      </w:r>
      <w:proofErr w:type="gramEnd"/>
      <w:r w:rsidR="00AB591A">
        <w:rPr>
          <w:rFonts w:ascii="TTFF2DF4F8t00" w:hAnsi="TTFF2DF4F8t00" w:cs="TTFF2DF4F8t00"/>
          <w:sz w:val="21"/>
          <w:szCs w:val="21"/>
          <w:lang w:val="pt-BR"/>
        </w:rPr>
        <w:t>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X – Poderá ser admitido como bolsista o pós-graduando que receba remuneração bruta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inferior ao valor da bolsa, decorren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te de vínculo funcional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, desde que liberado integralmente da atividade profissional;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XI – Serão considerados preferenciais, para efeit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o de obtenção de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bolsa no PPEUR</w:t>
      </w:r>
      <w:r w:rsidR="009A5A6B">
        <w:rPr>
          <w:rFonts w:ascii="TTFF2DF4F8t00" w:hAnsi="TTFF2DF4F8t00" w:cs="TTFF2DF4F8t00"/>
          <w:sz w:val="21"/>
          <w:szCs w:val="21"/>
          <w:lang w:val="pt-BR"/>
        </w:rPr>
        <w:t>,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os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discentes que não tenham nenhum trancamento no curso e aqueles com maior tempo de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ingresso no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Programa desde que respeitados </w:t>
      </w:r>
      <w:proofErr w:type="gramStart"/>
      <w:r w:rsidRPr="00EF16CE">
        <w:rPr>
          <w:rFonts w:ascii="TTFF2DF4F8t00" w:hAnsi="TTFF2DF4F8t00" w:cs="TTFF2DF4F8t00"/>
          <w:sz w:val="21"/>
          <w:szCs w:val="21"/>
          <w:lang w:val="pt-BR"/>
        </w:rPr>
        <w:t>os artigos 2º e 3º desta Resolução</w:t>
      </w:r>
      <w:proofErr w:type="gramEnd"/>
      <w:r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Parágrafo Único. Em caso de haver empate na classificação, o desempate deverá ocorrer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através da análise do desempenho acadêmico do candidato (Histórico Escolar e/ou </w:t>
      </w:r>
      <w:proofErr w:type="spellStart"/>
      <w:r w:rsidRPr="00EF16CE">
        <w:rPr>
          <w:rFonts w:ascii="TTFF2E1BE0t00" w:hAnsi="TTFF2E1BE0t00" w:cs="TTFF2E1BE0t00"/>
          <w:sz w:val="21"/>
          <w:szCs w:val="21"/>
          <w:lang w:val="pt-BR"/>
        </w:rPr>
        <w:t>Curriculum</w:t>
      </w:r>
      <w:proofErr w:type="spellEnd"/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proofErr w:type="spellStart"/>
      <w:r w:rsidRPr="00EF16CE">
        <w:rPr>
          <w:rFonts w:ascii="TTFF2E1BE0t00" w:hAnsi="TTFF2E1BE0t00" w:cs="TTFF2E1BE0t00"/>
          <w:sz w:val="21"/>
          <w:szCs w:val="21"/>
          <w:lang w:val="pt-BR"/>
        </w:rPr>
        <w:t>Lattes</w:t>
      </w:r>
      <w:proofErr w:type="spellEnd"/>
      <w:r w:rsidRPr="00EF16CE">
        <w:rPr>
          <w:rFonts w:ascii="TTFF2DF4F8t00" w:hAnsi="TTFF2DF4F8t00" w:cs="TTFF2DF4F8t00"/>
          <w:sz w:val="21"/>
          <w:szCs w:val="21"/>
          <w:lang w:val="pt-BR"/>
        </w:rPr>
        <w:t>).</w:t>
      </w:r>
    </w:p>
    <w:p w:rsidR="00EF16CE" w:rsidRPr="00EF16CE" w:rsidRDefault="00F14897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Art. 5º Discentes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contemplado</w:t>
      </w:r>
      <w:r>
        <w:rPr>
          <w:rFonts w:ascii="TTFF2DF4F8t00" w:hAnsi="TTFF2DF4F8t00" w:cs="TTFF2DF4F8t00"/>
          <w:sz w:val="21"/>
          <w:szCs w:val="21"/>
          <w:lang w:val="pt-BR"/>
        </w:rPr>
        <w:t>s com a quota terão a bolsa cancelada caso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obtenham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conceito abaixo de “B” em seu histórico.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Art. 5º Cabe aos discentes contemplados com quotas de bolsa realizar Exame de Qualificação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até o final do 3º período para o nível de Me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strado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,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impreterivelmente.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Parágrafo Único. Os discentes que não atenderem a exigência presente no </w:t>
      </w:r>
      <w:r w:rsidRPr="00EF16CE">
        <w:rPr>
          <w:rFonts w:ascii="TTFF2E1BE0t00" w:hAnsi="TTFF2E1BE0t00" w:cs="TTFF2E1BE0t00"/>
          <w:sz w:val="21"/>
          <w:szCs w:val="21"/>
          <w:lang w:val="pt-BR"/>
        </w:rPr>
        <w:t xml:space="preserve">caput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desse artigo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terão sua b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olsa cancelada no mês subseqüente ao término do prazo estipulado. Os discentes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que desejarem recorrer da decisão acima deverã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o apresentar seu pedido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por escrito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com justificativa comprobatória do motivo impeditivo da realização do Exame de Qualificação,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com parecer do orientador dirigido 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à Coordenação do C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urso, até cinco dias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úteis após o término do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prazo previsto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lastRenderedPageBreak/>
        <w:t xml:space="preserve">para a realização do referido 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exame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. Os pedidos de reconsideração serão encaminhados à Comissão de Bolsas, cuja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F14897">
        <w:rPr>
          <w:rFonts w:ascii="TTFF2DF4F8t00" w:hAnsi="TTFF2DF4F8t00" w:cs="TTFF2DF4F8t00"/>
          <w:sz w:val="21"/>
          <w:szCs w:val="21"/>
          <w:lang w:val="pt-BR"/>
        </w:rPr>
        <w:t>decisão será apreciada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pelo Colegiado do PPEUR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Art. 6º Os discentes 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bolsistas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deverão obrigatoriamente apresentar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uma produção intelectual: apresentação de trabalho em, no mínimo, um evento por ano na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área e/ou publicação de artigo completo em Anais de Congresso na área ou em periódico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indexado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, cumprir o Estágio à Docência, no decorrer de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um semestre para 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Mestrado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Art. 7º Caberá ao discente bolsista manter o seu Currículo </w:t>
      </w:r>
      <w:proofErr w:type="spellStart"/>
      <w:r w:rsidRPr="00EF16CE">
        <w:rPr>
          <w:rFonts w:ascii="TTFF2DF4F8t00" w:hAnsi="TTFF2DF4F8t00" w:cs="TTFF2DF4F8t00"/>
          <w:sz w:val="21"/>
          <w:szCs w:val="21"/>
          <w:lang w:val="pt-BR"/>
        </w:rPr>
        <w:t>Lattes</w:t>
      </w:r>
      <w:proofErr w:type="spellEnd"/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atualizado junto ao CNPq e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encaminhar à Secretaria do Programa um relatório semestral, assinado pelo seu orientador,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das atividades realizadas.</w:t>
      </w:r>
    </w:p>
    <w:p w:rsidR="00EF16CE" w:rsidRPr="00EF16CE" w:rsidRDefault="00F14897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Art. 8º Em nenhuma situação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o </w:t>
      </w:r>
      <w:r>
        <w:rPr>
          <w:rFonts w:ascii="TTFF2DF4F8t00" w:hAnsi="TTFF2DF4F8t00" w:cs="TTFF2DF4F8t00"/>
          <w:sz w:val="21"/>
          <w:szCs w:val="21"/>
          <w:lang w:val="pt-BR"/>
        </w:rPr>
        <w:t xml:space="preserve">mestrando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poderá receber mais do que 24 parcelas do valor da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bolsa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.</w:t>
      </w:r>
    </w:p>
    <w:p w:rsidR="00EF16CE" w:rsidRPr="00EF16CE" w:rsidRDefault="00F14897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Art. 9º A Comissão de B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olsas do 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PPEUR</w:t>
      </w:r>
      <w:r w:rsidR="003F285B">
        <w:rPr>
          <w:rFonts w:ascii="TTFF2DF4F8t00" w:hAnsi="TTFF2DF4F8t00" w:cs="TTFF2DF4F8t00"/>
          <w:sz w:val="21"/>
          <w:szCs w:val="21"/>
          <w:lang w:val="pt-BR"/>
        </w:rPr>
        <w:t>, indicada em reunião do c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olegiado, deverá elaborar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>
        <w:rPr>
          <w:rFonts w:ascii="TTFF2DF4F8t00" w:hAnsi="TTFF2DF4F8t00" w:cs="TTFF2DF4F8t00"/>
          <w:sz w:val="21"/>
          <w:szCs w:val="21"/>
          <w:lang w:val="pt-BR"/>
        </w:rPr>
        <w:t>uma lista de concessão de b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olsas, n</w:t>
      </w:r>
      <w:r w:rsidR="003F285B">
        <w:rPr>
          <w:rFonts w:ascii="TTFF2DF4F8t00" w:hAnsi="TTFF2DF4F8t00" w:cs="TTFF2DF4F8t00"/>
          <w:sz w:val="21"/>
          <w:szCs w:val="21"/>
          <w:lang w:val="pt-BR"/>
        </w:rPr>
        <w:t>o início de cada ano,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 xml:space="preserve"> verificando 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EF16CE" w:rsidRPr="00EF16CE">
        <w:rPr>
          <w:rFonts w:ascii="TTFF2DF4F8t00" w:hAnsi="TTFF2DF4F8t00" w:cs="TTFF2DF4F8t00"/>
          <w:sz w:val="21"/>
          <w:szCs w:val="21"/>
          <w:lang w:val="pt-BR"/>
        </w:rPr>
        <w:t>disponibilidade de quotas e suas possíveis substituições junto à Coordenação do Programa.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Parágrafo Único. O mandato da Comissão de Bolsas não deve ultrapassar dois anos após sua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indicação e aprovação pelo Colegiado do Programa.</w:t>
      </w:r>
    </w:p>
    <w:p w:rsidR="00EF16CE" w:rsidRPr="00EF16CE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 w:rsidRPr="00EF16CE">
        <w:rPr>
          <w:rFonts w:ascii="TTFF2DF4F8t00" w:hAnsi="TTFF2DF4F8t00" w:cs="TTFF2DF4F8t00"/>
          <w:sz w:val="21"/>
          <w:szCs w:val="21"/>
          <w:lang w:val="pt-BR"/>
        </w:rPr>
        <w:t>Art. 10. Os casos omissos serão dirimidos p</w:t>
      </w:r>
      <w:r w:rsidR="004C2163">
        <w:rPr>
          <w:rFonts w:ascii="TTFF2DF4F8t00" w:hAnsi="TTFF2DF4F8t00" w:cs="TTFF2DF4F8t00"/>
          <w:sz w:val="21"/>
          <w:szCs w:val="21"/>
          <w:lang w:val="pt-BR"/>
        </w:rPr>
        <w:t>ela Comissão de Bolsas do PPEUR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, apresentados e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="003F285B">
        <w:rPr>
          <w:rFonts w:ascii="TTFF2DF4F8t00" w:hAnsi="TTFF2DF4F8t00" w:cs="TTFF2DF4F8t00"/>
          <w:sz w:val="21"/>
          <w:szCs w:val="21"/>
          <w:lang w:val="pt-BR"/>
        </w:rPr>
        <w:t>apreciados no c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olegiado</w:t>
      </w:r>
      <w:r w:rsidR="003F285B">
        <w:rPr>
          <w:rFonts w:ascii="TTFF2DF4F8t00" w:hAnsi="TTFF2DF4F8t00" w:cs="TTFF2DF4F8t00"/>
          <w:sz w:val="21"/>
          <w:szCs w:val="21"/>
          <w:lang w:val="pt-BR"/>
        </w:rPr>
        <w:t>,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 xml:space="preserve"> sendo observada e respeitada a Portaria 52/002 CAPES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 xml:space="preserve"> </w:t>
      </w:r>
      <w:r w:rsidRPr="00EF16CE">
        <w:rPr>
          <w:rFonts w:ascii="TTFF2DF4F8t00" w:hAnsi="TTFF2DF4F8t00" w:cs="TTFF2DF4F8t00"/>
          <w:sz w:val="21"/>
          <w:szCs w:val="21"/>
          <w:lang w:val="pt-BR"/>
        </w:rPr>
        <w:t>de 26 de setembro de 2002.</w:t>
      </w:r>
    </w:p>
    <w:p w:rsidR="00AB591A" w:rsidRDefault="00AB591A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</w:p>
    <w:p w:rsidR="00EF16CE" w:rsidRPr="00EF16CE" w:rsidRDefault="00AB591A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r>
        <w:rPr>
          <w:rFonts w:ascii="TTFF2DF4F8t00" w:hAnsi="TTFF2DF4F8t00" w:cs="TTFF2DF4F8t00"/>
          <w:sz w:val="21"/>
          <w:szCs w:val="21"/>
          <w:lang w:val="pt-BR"/>
        </w:rPr>
        <w:t>Natal, 04 de fevereiro de 2010</w:t>
      </w:r>
    </w:p>
    <w:p w:rsidR="00EF16CE" w:rsidRPr="00AB591A" w:rsidRDefault="00EF16CE" w:rsidP="009A5A6B">
      <w:pPr>
        <w:autoSpaceDE w:val="0"/>
        <w:autoSpaceDN w:val="0"/>
        <w:adjustRightInd w:val="0"/>
        <w:spacing w:after="0" w:line="360" w:lineRule="auto"/>
        <w:jc w:val="both"/>
        <w:rPr>
          <w:rFonts w:ascii="TTFF2DF4F8t00" w:hAnsi="TTFF2DF4F8t00" w:cs="TTFF2DF4F8t00"/>
          <w:sz w:val="21"/>
          <w:szCs w:val="21"/>
          <w:lang w:val="pt-BR"/>
        </w:rPr>
      </w:pPr>
      <w:proofErr w:type="spellStart"/>
      <w:r w:rsidRPr="00AB591A">
        <w:rPr>
          <w:rFonts w:ascii="TTFF2DF4F8t00" w:hAnsi="TTFF2DF4F8t00" w:cs="TTFF2DF4F8t00"/>
          <w:sz w:val="21"/>
          <w:szCs w:val="21"/>
          <w:lang w:val="pt-BR"/>
        </w:rPr>
        <w:t>Prof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a</w:t>
      </w:r>
      <w:proofErr w:type="spellEnd"/>
      <w:r w:rsidRPr="00AB591A">
        <w:rPr>
          <w:rFonts w:ascii="TTFF2DF4F8t00" w:hAnsi="TTFF2DF4F8t00" w:cs="TTFF2DF4F8t00"/>
          <w:sz w:val="21"/>
          <w:szCs w:val="21"/>
          <w:lang w:val="pt-BR"/>
        </w:rPr>
        <w:t>. Dr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a. Ana Cláudia Cardoso</w:t>
      </w:r>
    </w:p>
    <w:p w:rsidR="00D57F97" w:rsidRPr="00AB591A" w:rsidRDefault="00EF16CE" w:rsidP="009A5A6B">
      <w:pPr>
        <w:spacing w:line="360" w:lineRule="auto"/>
        <w:jc w:val="both"/>
        <w:rPr>
          <w:lang w:val="pt-BR"/>
        </w:rPr>
      </w:pPr>
      <w:r w:rsidRPr="00AB591A">
        <w:rPr>
          <w:rFonts w:ascii="TTFF2DF4F8t00" w:hAnsi="TTFF2DF4F8t00" w:cs="TTFF2DF4F8t00"/>
          <w:sz w:val="21"/>
          <w:szCs w:val="21"/>
          <w:lang w:val="pt-BR"/>
        </w:rPr>
        <w:t>(Coordenador</w:t>
      </w:r>
      <w:r w:rsidR="00AB591A">
        <w:rPr>
          <w:rFonts w:ascii="TTFF2DF4F8t00" w:hAnsi="TTFF2DF4F8t00" w:cs="TTFF2DF4F8t00"/>
          <w:sz w:val="21"/>
          <w:szCs w:val="21"/>
          <w:lang w:val="pt-BR"/>
        </w:rPr>
        <w:t>a do PPEUR</w:t>
      </w:r>
      <w:r w:rsidRPr="00AB591A">
        <w:rPr>
          <w:rFonts w:ascii="TTFF2DF4F8t00" w:hAnsi="TTFF2DF4F8t00" w:cs="TTFF2DF4F8t00"/>
          <w:sz w:val="21"/>
          <w:szCs w:val="21"/>
          <w:lang w:val="pt-BR"/>
        </w:rPr>
        <w:t>)</w:t>
      </w:r>
    </w:p>
    <w:sectPr w:rsidR="00D57F97" w:rsidRPr="00AB591A" w:rsidSect="00377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FF2DF4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2E1B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EF16CE"/>
    <w:rsid w:val="00091B22"/>
    <w:rsid w:val="00377BCB"/>
    <w:rsid w:val="003C3CB2"/>
    <w:rsid w:val="003F285B"/>
    <w:rsid w:val="004C2163"/>
    <w:rsid w:val="00897FBD"/>
    <w:rsid w:val="009049D3"/>
    <w:rsid w:val="00935168"/>
    <w:rsid w:val="009A5A6B"/>
    <w:rsid w:val="00AB591A"/>
    <w:rsid w:val="00B73AE4"/>
    <w:rsid w:val="00BE49F6"/>
    <w:rsid w:val="00C76C6D"/>
    <w:rsid w:val="00EF16CE"/>
    <w:rsid w:val="00F1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1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2010-06-22T12:05:00Z</dcterms:created>
  <dcterms:modified xsi:type="dcterms:W3CDTF">2010-06-22T12:05:00Z</dcterms:modified>
</cp:coreProperties>
</file>