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SemEspaamento1"/>
        <w:jc w:val="center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76200</wp:posOffset>
            </wp:positionH>
            <wp:positionV relativeFrom="paragraph">
              <wp:posOffset>-182880</wp:posOffset>
            </wp:positionV>
            <wp:extent cx="933450" cy="1047750"/>
            <wp:effectExtent l="0" t="0" r="0" b="0"/>
            <wp:wrapNone/>
            <wp:docPr id="1" name="Imagem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5372100</wp:posOffset>
            </wp:positionH>
            <wp:positionV relativeFrom="paragraph">
              <wp:posOffset>-259080</wp:posOffset>
            </wp:positionV>
            <wp:extent cx="828675" cy="1028700"/>
            <wp:effectExtent l="0" t="0" r="0" b="0"/>
            <wp:wrapThrough wrapText="bothSides">
              <wp:wrapPolygon edited="0">
                <wp:start x="6942" y="0"/>
                <wp:lineTo x="3964" y="1595"/>
                <wp:lineTo x="988" y="5197"/>
                <wp:lineTo x="988" y="7591"/>
                <wp:lineTo x="3964" y="12789"/>
                <wp:lineTo x="-494" y="14796"/>
                <wp:lineTo x="-494" y="21194"/>
                <wp:lineTo x="21837" y="21194"/>
                <wp:lineTo x="21837" y="15191"/>
                <wp:lineTo x="18365" y="12789"/>
                <wp:lineTo x="20848" y="7591"/>
                <wp:lineTo x="21343" y="5197"/>
                <wp:lineTo x="17870" y="1595"/>
                <wp:lineTo x="14893" y="0"/>
                <wp:lineTo x="6942" y="0"/>
              </wp:wrapPolygon>
            </wp:wrapThrough>
            <wp:docPr id="2" name="Imagem 2" descr="MARCA_PPGBB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MARCA_PPGBBM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                                </w:t>
      </w:r>
      <w:r>
        <w:rPr>
          <w:rFonts w:cs="Candara" w:ascii="Candara" w:hAnsi="Candara"/>
          <w:b/>
          <w:shadow/>
          <w:sz w:val="28"/>
          <w:szCs w:val="28"/>
        </w:rPr>
        <w:t>Universidade Federal do Rio Grande do Norte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                                  </w:t>
      </w:r>
      <w:r>
        <w:rPr>
          <w:rFonts w:cs="Candara" w:ascii="Candara" w:hAnsi="Candara"/>
          <w:b/>
          <w:shadow/>
          <w:sz w:val="28"/>
          <w:szCs w:val="28"/>
        </w:rPr>
        <w:t>Centro de Biociências</w:t>
      </w:r>
    </w:p>
    <w:p>
      <w:pPr>
        <w:pStyle w:val="SemEspaamento1"/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 xml:space="preserve">                                  </w:t>
      </w:r>
      <w:r>
        <w:rPr>
          <w:rFonts w:cs="Candara" w:ascii="Candara" w:hAnsi="Candara"/>
          <w:b/>
          <w:shadow/>
          <w:sz w:val="28"/>
          <w:szCs w:val="28"/>
        </w:rPr>
        <w:t>Departamento de Bioquímica</w:t>
      </w:r>
    </w:p>
    <w:p>
      <w:pPr>
        <w:pStyle w:val="SemEspaamento1"/>
        <w:pBdr>
          <w:bottom w:val="double" w:sz="6" w:space="1" w:color="00000A"/>
        </w:pBdr>
        <w:jc w:val="center"/>
        <w:rPr/>
      </w:pPr>
      <w:r>
        <w:rPr>
          <w:rFonts w:cs="Candara" w:ascii="Candara" w:hAnsi="Candara"/>
          <w:b/>
          <w:shadow/>
          <w:sz w:val="28"/>
          <w:szCs w:val="28"/>
        </w:rPr>
        <w:t>Programa de Pós-Graduação em Bioquímica e Biologia Molecular</w:t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853" w:type="dxa"/>
        <w:jc w:val="left"/>
        <w:tblInd w:w="9" w:type="dxa"/>
        <w:tblLayout w:type="fixed"/>
        <w:tblCellMar>
          <w:top w:w="57" w:type="dxa"/>
          <w:left w:w="25" w:type="dxa"/>
          <w:bottom w:w="57" w:type="dxa"/>
          <w:right w:w="57" w:type="dxa"/>
        </w:tblCellMar>
        <w:tblLook w:val="04a0"/>
      </w:tblPr>
      <w:tblGrid>
        <w:gridCol w:w="9853"/>
      </w:tblGrid>
      <w:tr>
        <w:trPr>
          <w:trHeight w:val="465" w:hRule="atLeast"/>
        </w:trPr>
        <w:tc>
          <w:tcPr>
            <w:tcW w:w="985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</w:tcPr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b/>
                <w:bCs/>
                <w:color w:val="FFFFFF"/>
                <w:sz w:val="24"/>
                <w:szCs w:val="24"/>
                <w:lang w:eastAsia="pt-BR"/>
              </w:rPr>
              <w:t>QUALIFICAÇÃO DE DISSERTAÇÃO OU TESE</w:t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ORIENTAÇÕES E FORMULÁRIO DE CADASTRO DE BANCA</w:t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tbl>
      <w:tblPr>
        <w:tblW w:w="9853" w:type="dxa"/>
        <w:jc w:val="left"/>
        <w:tblInd w:w="9" w:type="dxa"/>
        <w:tblLayout w:type="fixed"/>
        <w:tblCellMar>
          <w:top w:w="57" w:type="dxa"/>
          <w:left w:w="25" w:type="dxa"/>
          <w:bottom w:w="57" w:type="dxa"/>
          <w:right w:w="57" w:type="dxa"/>
        </w:tblCellMar>
        <w:tblLook w:val="04a0"/>
      </w:tblPr>
      <w:tblGrid>
        <w:gridCol w:w="1412"/>
        <w:gridCol w:w="8440"/>
      </w:tblGrid>
      <w:tr>
        <w:trPr/>
        <w:tc>
          <w:tcPr>
            <w:tcW w:w="9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QUALIFICAÇÃO – MESTRADO</w:t>
            </w:r>
          </w:p>
        </w:tc>
      </w:tr>
      <w:tr>
        <w:trPr/>
        <w:tc>
          <w:tcPr>
            <w:tcW w:w="14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/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i/>
                <w:iCs/>
                <w:color w:val="FFFFFF"/>
                <w:sz w:val="18"/>
                <w:szCs w:val="18"/>
              </w:rPr>
              <w:t>ORIENTAÇÕES GERAIS</w:t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O estudante de mestrado deverá qualificar no prazo máximo de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20 (VINTE)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meses após a data da matrícula inicial.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A comissão examinadora para o mestrado e para o doutorado será composta por 3 (três) professores, todos com o título de doutor, sendo pelo menos 1 (um) interno ao programa e pelo menos 1 (um) externo ao programa. O orientador não fará parte da comissão examinadora. 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</w:t>
            </w:r>
            <w:bookmarkStart w:id="0" w:name="__DdeLink__2062_949421027"/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A qualificação será inserida no SIGAA mediante o envio do formulário Cadastro de Banca de Qualificação de Dissertação/tese, conforme modelo fornecido, por via eletrônica (</w:t>
            </w:r>
            <w:hyperlink r:id="rId4">
              <w:r>
                <w:rPr>
                  <w:rStyle w:val="LinkdaInternet"/>
                  <w:rFonts w:eastAsia="Times New Roman" w:cs="Arial" w:ascii="Arial" w:hAnsi="Arial"/>
                  <w:sz w:val="18"/>
                  <w:szCs w:val="18"/>
                  <w:lang w:eastAsia="pt-BR"/>
                </w:rPr>
                <w:t>ppgbioquimica@gmail.com.br</w:t>
              </w:r>
            </w:hyperlink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). Ademais</w:t>
            </w:r>
            <w:bookmarkEnd w:id="0"/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, para solicitação do exame de qualificação do mestrado, o estudante deverá apresentar: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I - a versão preliminar da dissertação, conforme modelo recomendado pelo PPGBBM; 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II - o certificado de proficiência em língua estrangeira nos termos do Art. 41 do regimento.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No caso de reprovação no exame de qualificação o estudante de mestrado poderá agendar novo exame no prazo máximo de 120 (cento e vinte) dias após a data do primeiro exame. Caso esse prazo não seja cumprido o aluno será desligado. 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No caso de reprovação no segundo exame de qualificação o estudante será desligado do curso. Casos excepcionais serão definidos pelo colegiado do programa. 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O cumprimento de todas as etapas será um dos pré-requisitos para a defesa.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4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O cumprimento do calendário proposto servirá de subsídio para a comissão de bolsas do Programa avaliar a renovação das bolsas.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A não submissão do aluno ao exame de qualificação até o 20º mês, contado a partir da data de matrícula, implica no desligamento do aluno. 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Western1"/>
              <w:widowControl w:val="false"/>
              <w:numPr>
                <w:ilvl w:val="0"/>
                <w:numId w:val="1"/>
              </w:numPr>
              <w:spacing w:before="280" w:after="0"/>
              <w:jc w:val="both"/>
              <w:rPr>
                <w:rFonts w:ascii="Arial" w:hAnsi="Arial" w:cs="Arial"/>
                <w:i/>
                <w:i/>
                <w:iCs/>
                <w:sz w:val="18"/>
                <w:szCs w:val="18"/>
              </w:rPr>
            </w:pPr>
            <w:r>
              <w:rPr>
                <w:rFonts w:cs="Arial" w:ascii="Arial" w:hAnsi="Arial"/>
                <w:i/>
                <w:iCs/>
                <w:sz w:val="18"/>
                <w:szCs w:val="18"/>
              </w:rPr>
              <w:t xml:space="preserve">Há que se verificar a preferência da banca com respeito ao envio do boneco, se impresso ou em formato digital. O Programa opta pela redução de papel e enviará o arquivo digital da dissertação/tese. No caso da preferência pelo envio do formato impresso, o discente deverá encaminhar a dissertação/tese aos membros da banca com, </w:t>
            </w:r>
            <w:r>
              <w:rPr>
                <w:rFonts w:cs="Arial" w:ascii="Arial" w:hAnsi="Arial"/>
                <w:b/>
                <w:bCs/>
                <w:i/>
                <w:iCs/>
                <w:sz w:val="18"/>
                <w:szCs w:val="18"/>
                <w:u w:val="single"/>
              </w:rPr>
              <w:t>no mínimo</w:t>
            </w:r>
            <w:r>
              <w:rPr>
                <w:rFonts w:cs="Arial" w:ascii="Arial" w:hAnsi="Arial"/>
                <w:i/>
                <w:iCs/>
                <w:sz w:val="18"/>
                <w:szCs w:val="18"/>
                <w:u w:val="single"/>
              </w:rPr>
              <w:t xml:space="preserve">, </w:t>
            </w:r>
            <w:r>
              <w:rPr>
                <w:rFonts w:cs="Arial" w:ascii="Arial" w:hAnsi="Arial"/>
                <w:b/>
                <w:bCs/>
                <w:i/>
                <w:iCs/>
                <w:sz w:val="18"/>
                <w:szCs w:val="18"/>
                <w:u w:val="single"/>
              </w:rPr>
              <w:t>15 a 20 dias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 xml:space="preserve"> antes da data da qualificação.</w:t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853" w:type="dxa"/>
        <w:jc w:val="left"/>
        <w:tblInd w:w="9" w:type="dxa"/>
        <w:tblLayout w:type="fixed"/>
        <w:tblCellMar>
          <w:top w:w="57" w:type="dxa"/>
          <w:left w:w="25" w:type="dxa"/>
          <w:bottom w:w="57" w:type="dxa"/>
          <w:right w:w="57" w:type="dxa"/>
        </w:tblCellMar>
        <w:tblLook w:val="04a0"/>
      </w:tblPr>
      <w:tblGrid>
        <w:gridCol w:w="1412"/>
        <w:gridCol w:w="8440"/>
      </w:tblGrid>
      <w:tr>
        <w:trPr/>
        <w:tc>
          <w:tcPr>
            <w:tcW w:w="9852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QUALIFICAÇÃO – DOUTORADO</w:t>
            </w:r>
          </w:p>
        </w:tc>
      </w:tr>
      <w:tr>
        <w:trPr/>
        <w:tc>
          <w:tcPr>
            <w:tcW w:w="141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/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i/>
                <w:iCs/>
                <w:color w:val="FFFFFF"/>
                <w:sz w:val="18"/>
                <w:szCs w:val="18"/>
              </w:rPr>
              <w:t>ORIENTAÇÕES GERAIS</w:t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O estudante de doutorado deverá qualificar no prazo máximo de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36 (TRINTA E SEIS)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meses após a data da matrícula inicial. 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A comissão examinadora para o mestrado e para o doutorado será composta por 3 (três) professores, todos com o título de doutor, sendo pelo menos 1 (um) interno ao programa e pelo menos 1 (um) externo ao programa. O orientador não fará parte da comissão examinadora. 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- A qualificação será inserida no SIGAA mediante o envio do formulário Cadastro de Banca de Qualificação de Dissertação/tese, conforme modelo fornecido, por via eletrônica (</w:t>
            </w:r>
            <w:hyperlink r:id="rId5">
              <w:r>
                <w:rPr>
                  <w:rStyle w:val="LinkdaInternet"/>
                  <w:rFonts w:eastAsia="Times New Roman" w:cs="Arial" w:ascii="Arial" w:hAnsi="Arial"/>
                  <w:sz w:val="18"/>
                  <w:szCs w:val="18"/>
                  <w:lang w:eastAsia="pt-BR"/>
                </w:rPr>
                <w:t>ppgbioquimica@gmail.com.br</w:t>
              </w:r>
            </w:hyperlink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). Ademais, para solicitação do exame de qualificação do doutorado, o estudante deverá apresentar: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I - a versão preliminar da tese, conforme modelo recomendado pelo PPGBBM; Anexo da Resolução n o 018/2019-CONSEPE, de 19 de fevereiro de 2019;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II - um manuscrito científico, como autor principal, já submetido ou publicado em revista indexada </w:t>
            </w:r>
            <w:r>
              <w:rPr>
                <w:rFonts w:eastAsia="Times New Roman" w:cs="Arial" w:ascii="Arial" w:hAnsi="Arial"/>
                <w:i/>
                <w:color w:val="000000"/>
                <w:sz w:val="18"/>
                <w:szCs w:val="18"/>
                <w:lang w:eastAsia="pt-BR"/>
              </w:rPr>
              <w:t>qualis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 A4  ou superior, de acordo com o critério estabelecido pelo comitê em que o PPGBBM se insere; 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III - os comprovantes de proficiência em inglês e em um segundo idioma, nos termos do art. 41 do regimento. A não apresentação dos documentos descritos no prazo definido para solicitação do exame de qualificação implicará no desligamento do aluno. 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>- A comissão examinadora para o mestrado e para o doutorado será composta por 3 (três) professores, todos com o título de doutor, sendo pelo menos 1 (um) interno ao programa e pelo menos 1 (um) externo ao programa. O orientador não fará parte da comissão examinadora. A qualificação será arguitiva e corretiva. Após a arguição, o aluno terá como obrigação apresentar a nova versão de sua dissertação e ou tese considerando as sugestões da comissão examinadora. Ressalva-se ao orientador acatar ou não as sugestões propostas pela comissão examinadora.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both"/>
              <w:rPr/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  <w:lang w:eastAsia="pt-BR"/>
              </w:rPr>
              <w:t xml:space="preserve">- Caso necessário, o resultado final da qualificação poderá ser emitido pela comissão examinadora apenas após a avaliação da nova versão da dissertação ou tese. Esse resultado deverá ser emitido no prazo máximo de 30 (trinta) dias após a data do exame de qualificação 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No caso de reprovação no exame de qualificação, o estudante de doutorado deverá submeter-se a novo exame, no prazo máximo de 12 (doze) meses após a data do primeiro exame. Caso esse prazo não seja cumprido o aluno será desligado. 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suppressAutoHyphens w:val="false"/>
              <w:spacing w:lineRule="auto" w:line="288" w:beforeAutospacing="1" w:after="0"/>
              <w:jc w:val="both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O estudante de doutorado que não for aprovado no segundo exame de qualificação, será desligado do curso. Casos excepcionais serão definidos pelo colegiado do programa. 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O cumprimento de todas as etapas será um dos pré-requisitos para a defesa.</w:t>
            </w:r>
          </w:p>
        </w:tc>
      </w:tr>
      <w:tr>
        <w:trPr/>
        <w:tc>
          <w:tcPr>
            <w:tcW w:w="1412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60" w:type="dxa"/>
              <w:left w:w="28" w:type="dxa"/>
              <w:bottom w:w="60" w:type="dxa"/>
              <w:right w:w="60" w:type="dxa"/>
            </w:tcMar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cs="Liberation Serif"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84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auto" w:val="clear"/>
            <w:tcMar>
              <w:top w:w="0" w:type="dxa"/>
            </w:tcMar>
          </w:tcPr>
          <w:p>
            <w:pPr>
              <w:pStyle w:val="Normal"/>
              <w:widowControl w:val="false"/>
              <w:numPr>
                <w:ilvl w:val="0"/>
                <w:numId w:val="8"/>
              </w:numPr>
              <w:suppressAutoHyphens w:val="false"/>
              <w:spacing w:lineRule="auto" w:line="288" w:beforeAutospacing="1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  <w:lang w:eastAsia="pt-BR"/>
              </w:rPr>
              <w:t>O cumprimento do calendário proposto servirá de subsídio para a comissão de bolsas do Programa avaliar a renovação das bolsas.</w:t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870" w:type="dxa"/>
        <w:jc w:val="left"/>
        <w:tblInd w:w="-70" w:type="dxa"/>
        <w:tblLayout w:type="fixed"/>
        <w:tblCellMar>
          <w:top w:w="0" w:type="dxa"/>
          <w:left w:w="0" w:type="dxa"/>
          <w:bottom w:w="0" w:type="dxa"/>
          <w:right w:w="5" w:type="dxa"/>
        </w:tblCellMar>
        <w:tblLook w:val="04a0"/>
      </w:tblPr>
      <w:tblGrid>
        <w:gridCol w:w="9870"/>
      </w:tblGrid>
      <w:tr>
        <w:trPr/>
        <w:tc>
          <w:tcPr>
            <w:tcW w:w="9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007E80" w:val="clea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CADASTRO DE BANCA DE QUALIFICAÇÃO</w:t>
            </w:r>
          </w:p>
        </w:tc>
      </w:tr>
    </w:tbl>
    <w:p>
      <w:pPr>
        <w:pStyle w:val="Western"/>
        <w:spacing w:lineRule="auto" w:line="240" w:before="28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p>
      <w:pPr>
        <w:pStyle w:val="Western"/>
        <w:spacing w:lineRule="auto" w:line="240" w:before="280" w:after="0"/>
        <w:jc w:val="center"/>
        <w:rPr/>
      </w:pPr>
      <w:r>
        <w:rPr>
          <w:rFonts w:cs="Arial" w:ascii="Arial" w:hAnsi="Arial"/>
          <w:i/>
          <w:iCs/>
          <w:sz w:val="16"/>
          <w:szCs w:val="16"/>
        </w:rPr>
        <w:t>Obs. O preenchimento de todos os campos é obrigatório. Sujeito à devolução no caso de ausência de algum dos dados.</w:t>
      </w:r>
    </w:p>
    <w:p>
      <w:pPr>
        <w:pStyle w:val="Western"/>
        <w:spacing w:lineRule="auto" w:line="240" w:before="280" w:after="0"/>
        <w:jc w:val="center"/>
        <w:rPr>
          <w:rFonts w:ascii="Arial" w:hAnsi="Arial" w:cs="Arial"/>
          <w:i/>
          <w:i/>
          <w:iCs/>
          <w:sz w:val="16"/>
          <w:szCs w:val="16"/>
        </w:rPr>
      </w:pPr>
      <w:r>
        <w:rPr>
          <w:rFonts w:cs="Arial" w:ascii="Arial" w:hAnsi="Arial"/>
          <w:i/>
          <w:iCs/>
          <w:sz w:val="16"/>
          <w:szCs w:val="16"/>
        </w:rPr>
      </w:r>
    </w:p>
    <w:tbl>
      <w:tblPr>
        <w:tblW w:w="9898" w:type="dxa"/>
        <w:jc w:val="left"/>
        <w:tblInd w:w="96" w:type="dxa"/>
        <w:tblLayout w:type="fixed"/>
        <w:tblCellMar>
          <w:top w:w="57" w:type="dxa"/>
          <w:left w:w="70" w:type="dxa"/>
          <w:bottom w:w="57" w:type="dxa"/>
          <w:right w:w="0" w:type="dxa"/>
        </w:tblCellMar>
        <w:tblLook w:val="04a0"/>
      </w:tblPr>
      <w:tblGrid>
        <w:gridCol w:w="2315"/>
        <w:gridCol w:w="2531"/>
        <w:gridCol w:w="1343"/>
        <w:gridCol w:w="3708"/>
      </w:tblGrid>
      <w:tr>
        <w:trPr>
          <w:trHeight w:val="510" w:hRule="atLeast"/>
        </w:trPr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Orientador: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right w:w="108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orientador: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Coorientador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coorientador: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46" w:hRule="atLeast"/>
        </w:trPr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Email do coorientador: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Orientando: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 do aluno: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 do aluno: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Data prevista:</w:t>
            </w:r>
          </w:p>
        </w:tc>
        <w:tc>
          <w:tcPr>
            <w:tcW w:w="253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  <w:tc>
          <w:tcPr>
            <w:tcW w:w="13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Hora prevista:</w:t>
            </w:r>
          </w:p>
        </w:tc>
        <w:tc>
          <w:tcPr>
            <w:tcW w:w="3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both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Local: (Em caso de qualificação por videoconferência, informar o link para acesso à sala virtual)</w:t>
            </w:r>
          </w:p>
        </w:tc>
        <w:tc>
          <w:tcPr>
            <w:tcW w:w="758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315" w:type="dxa"/>
            <w:tcBorders>
              <w:left w:val="single" w:sz="6" w:space="0" w:color="000001"/>
              <w:bottom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both"/>
              <w:rPr>
                <w:rFonts w:ascii="Arial" w:hAnsi="Arial" w:eastAsia="Times New Roman" w:cs="Arial"/>
                <w:color w:val="FFFFFF"/>
                <w:sz w:val="18"/>
                <w:szCs w:val="18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 xml:space="preserve">Foto </w:t>
            </w: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 xml:space="preserve">do aluno </w:t>
            </w: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 xml:space="preserve">para cartaz de divulgação </w:t>
            </w:r>
          </w:p>
        </w:tc>
        <w:tc>
          <w:tcPr>
            <w:tcW w:w="7582" w:type="dxa"/>
            <w:gridSpan w:val="3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  <w:right w:w="108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p>
      <w:pPr>
        <w:pStyle w:val="Western"/>
        <w:spacing w:lineRule="auto" w:line="240" w:before="280" w:after="0"/>
        <w:rPr/>
      </w:pPr>
      <w:r>
        <w:rPr/>
      </w:r>
    </w:p>
    <w:tbl>
      <w:tblPr>
        <w:tblW w:w="9915" w:type="dxa"/>
        <w:jc w:val="left"/>
        <w:tblInd w:w="111" w:type="dxa"/>
        <w:tblLayout w:type="fixed"/>
        <w:tblCellMar>
          <w:top w:w="57" w:type="dxa"/>
          <w:left w:w="76" w:type="dxa"/>
          <w:bottom w:w="57" w:type="dxa"/>
          <w:right w:w="108" w:type="dxa"/>
        </w:tblCellMar>
        <w:tblLook w:val="04a0"/>
      </w:tblPr>
      <w:tblGrid>
        <w:gridCol w:w="2550"/>
        <w:gridCol w:w="2205"/>
        <w:gridCol w:w="5160"/>
      </w:tblGrid>
      <w:tr>
        <w:trPr/>
        <w:tc>
          <w:tcPr>
            <w:tcW w:w="99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20"/>
                <w:szCs w:val="20"/>
              </w:rPr>
              <w:t>BANCA EXAMINADORA</w:t>
            </w:r>
          </w:p>
        </w:tc>
      </w:tr>
      <w:tr>
        <w:trPr>
          <w:trHeight w:val="340" w:hRule="atLeast"/>
        </w:trPr>
        <w:tc>
          <w:tcPr>
            <w:tcW w:w="25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Presidente/</w:t>
            </w:r>
          </w:p>
          <w:p>
            <w:pPr>
              <w:pStyle w:val="Normal"/>
              <w:widowControl w:val="false"/>
              <w:suppressAutoHyphens w:val="false"/>
              <w:spacing w:lineRule="auto" w:line="288" w:beforeAutospacing="1" w:after="0"/>
              <w:jc w:val="center"/>
              <w:rPr>
                <w:rFonts w:ascii="Liberation Serif" w:hAnsi="Liberation Serif" w:eastAsia="Times New Roman" w:cs="Liberation Serif"/>
                <w:color w:val="000000"/>
                <w:sz w:val="24"/>
                <w:szCs w:val="24"/>
                <w:lang w:eastAsia="pt-BR"/>
              </w:rPr>
            </w:pPr>
            <w:r>
              <w:rPr>
                <w:rFonts w:eastAsia="Times New Roman" w:cs="Arial" w:ascii="Arial" w:hAnsi="Arial"/>
                <w:color w:val="FFFFFF"/>
                <w:sz w:val="18"/>
                <w:szCs w:val="18"/>
                <w:lang w:eastAsia="pt-BR"/>
              </w:rPr>
              <w:t>Membro Interno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Interno ou Externo ao Programa</w:t>
            </w:r>
          </w:p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Membro Externo ao Programa</w:t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Nome: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Telefone: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E-mail: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550" w:type="dxa"/>
            <w:vMerge w:val="continue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280" w:after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</w:r>
          </w:p>
        </w:tc>
        <w:tc>
          <w:tcPr>
            <w:tcW w:w="22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Instituição/Departamento:</w:t>
            </w:r>
          </w:p>
        </w:tc>
        <w:tc>
          <w:tcPr>
            <w:tcW w:w="5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66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DO MANUSCRITO</w:t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do Manuscrito: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 xml:space="preserve">Título do Periódico: 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Fator de impacto: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1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PORTUGUÊS*</w:t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Número de Páginas: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Resumo:</w:t>
            </w:r>
          </w:p>
        </w:tc>
        <w:tc>
          <w:tcPr>
            <w:tcW w:w="7365" w:type="dxa"/>
            <w:gridSpan w:val="2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109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9915" w:type="dxa"/>
            <w:gridSpan w:val="3"/>
            <w:tcBorders>
              <w:top w:val="single" w:sz="4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280" w:after="0"/>
              <w:jc w:val="center"/>
              <w:rPr/>
            </w:pPr>
            <w:r>
              <w:rPr>
                <w:rFonts w:cs="Arial" w:ascii="Arial" w:hAnsi="Arial"/>
                <w:b/>
                <w:bCs/>
                <w:color w:val="FFFFFF"/>
                <w:sz w:val="18"/>
                <w:szCs w:val="18"/>
              </w:rPr>
              <w:t>DADOS DA DISSERTAÇÃO/TESE EM INGLES*</w:t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  <w:vAlign w:val="center"/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Título (title):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Palavras Chaves (keywords):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0" w:after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25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007E80" w:val="clear"/>
            <w:tcMar>
              <w:top w:w="0" w:type="dxa"/>
              <w:right w:w="0" w:type="dxa"/>
            </w:tcMar>
          </w:tcPr>
          <w:p>
            <w:pPr>
              <w:pStyle w:val="Western1"/>
              <w:widowControl w:val="false"/>
              <w:spacing w:before="0" w:after="0"/>
              <w:rPr/>
            </w:pPr>
            <w:r>
              <w:rPr>
                <w:rFonts w:cs="Arial" w:ascii="Arial" w:hAnsi="Arial"/>
                <w:color w:val="FFFFFF"/>
                <w:sz w:val="18"/>
                <w:szCs w:val="18"/>
              </w:rPr>
              <w:t>Resumo (abstract):</w:t>
            </w:r>
          </w:p>
        </w:tc>
        <w:tc>
          <w:tcPr>
            <w:tcW w:w="736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color="auto" w:fill="FFFFFF" w:val="clear"/>
            <w:tcMar>
              <w:top w:w="0" w:type="dxa"/>
            </w:tcMar>
          </w:tcPr>
          <w:p>
            <w:pPr>
              <w:pStyle w:val="Western1"/>
              <w:widowControl w:val="false"/>
              <w:spacing w:before="52" w:after="0"/>
              <w:jc w:val="center"/>
              <w:rPr/>
            </w:pPr>
            <w:r>
              <w:rPr/>
            </w:r>
          </w:p>
        </w:tc>
      </w:tr>
    </w:tbl>
    <w:p>
      <w:pPr>
        <w:pStyle w:val="Western"/>
        <w:spacing w:lineRule="auto" w:line="240" w:before="280" w:after="0"/>
        <w:rPr/>
      </w:pPr>
      <w:r>
        <w:rPr>
          <w:rFonts w:cs="Arial" w:ascii="Arial" w:hAnsi="Arial"/>
          <w:sz w:val="18"/>
          <w:szCs w:val="18"/>
        </w:rPr>
        <w:t>*Necessárias as informações nas duas línguas.</w:t>
      </w:r>
    </w:p>
    <w:p>
      <w:pPr>
        <w:pStyle w:val="SemEspaamento1"/>
        <w:jc w:val="center"/>
        <w:rPr/>
      </w:pPr>
      <w:r>
        <w:rPr/>
      </w:r>
    </w:p>
    <w:p>
      <w:pPr>
        <w:pStyle w:val="SemEspaamento1"/>
        <w:jc w:val="center"/>
        <w:rPr/>
      </w:pPr>
      <w:r>
        <w:rPr/>
      </w:r>
    </w:p>
    <w:p>
      <w:pPr>
        <w:pStyle w:val="Normal"/>
        <w:suppressAutoHyphens w:val="false"/>
        <w:spacing w:lineRule="auto" w:line="240" w:beforeAutospacing="1" w:after="0"/>
        <w:rPr/>
      </w:pPr>
      <w:r>
        <w:rPr/>
      </w:r>
    </w:p>
    <w:sectPr>
      <w:footerReference w:type="default" r:id="rId6"/>
      <w:type w:val="nextPage"/>
      <w:pgSz w:w="11906" w:h="16838"/>
      <w:pgMar w:left="1080" w:right="1080" w:gutter="0" w:header="0" w:top="993" w:footer="708" w:bottom="1440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ndara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2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872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font359"/>
      <w:color w:val="00000A"/>
      <w:kern w:val="0"/>
      <w:sz w:val="22"/>
      <w:szCs w:val="22"/>
      <w:lang w:eastAsia="en-US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9872fb"/>
    <w:rPr/>
  </w:style>
  <w:style w:type="character" w:styleId="LinkdaInternet" w:customStyle="1">
    <w:name w:val="Hyperlink"/>
    <w:basedOn w:val="Fontepargpadro1"/>
    <w:rsid w:val="009872fb"/>
    <w:rPr>
      <w:color w:val="0000FF"/>
      <w:u w:val="single"/>
    </w:rPr>
  </w:style>
  <w:style w:type="character" w:styleId="CabealhoChar" w:customStyle="1">
    <w:name w:val="Cabeçalho Char"/>
    <w:basedOn w:val="Fontepargpadro1"/>
    <w:qFormat/>
    <w:rsid w:val="009872fb"/>
    <w:rPr/>
  </w:style>
  <w:style w:type="character" w:styleId="RodapChar" w:customStyle="1">
    <w:name w:val="Rodapé Char"/>
    <w:basedOn w:val="Fontepargpadro1"/>
    <w:qFormat/>
    <w:rsid w:val="009872fb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747b60"/>
    <w:rPr>
      <w:rFonts w:ascii="Tahoma" w:hAnsi="Tahoma" w:eastAsia="Calibri" w:cs="Tahoma"/>
      <w:color w:val="00000A"/>
      <w:sz w:val="16"/>
      <w:szCs w:val="16"/>
      <w:lang w:eastAsia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rsid w:val="009872fb"/>
    <w:pPr>
      <w:spacing w:lineRule="auto" w:line="288" w:before="0" w:after="140"/>
    </w:pPr>
    <w:rPr/>
  </w:style>
  <w:style w:type="paragraph" w:styleId="Lista">
    <w:name w:val="List"/>
    <w:basedOn w:val="Corpodotexto"/>
    <w:rsid w:val="009872fb"/>
    <w:pPr/>
    <w:rPr>
      <w:rFonts w:cs="Mangal"/>
    </w:rPr>
  </w:style>
  <w:style w:type="paragraph" w:styleId="Legenda" w:customStyle="1">
    <w:name w:val="Caption"/>
    <w:basedOn w:val="Normal"/>
    <w:qFormat/>
    <w:rsid w:val="007b566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rsid w:val="009872fb"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qFormat/>
    <w:rsid w:val="007b566a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tulo1" w:customStyle="1">
    <w:name w:val="Título1"/>
    <w:basedOn w:val="Normal"/>
    <w:qFormat/>
    <w:rsid w:val="009872fb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rsid w:val="009872f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emEspaamento1" w:customStyle="1">
    <w:name w:val="Sem Espaçamento1"/>
    <w:qFormat/>
    <w:rsid w:val="009872f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font359"/>
      <w:color w:val="00000A"/>
      <w:kern w:val="0"/>
      <w:sz w:val="22"/>
      <w:szCs w:val="22"/>
      <w:lang w:eastAsia="en-US" w:val="pt-BR" w:bidi="ar-SA"/>
    </w:rPr>
  </w:style>
  <w:style w:type="paragraph" w:styleId="PargrafodaLista1" w:customStyle="1">
    <w:name w:val="Parágrafo da Lista1"/>
    <w:basedOn w:val="Normal"/>
    <w:qFormat/>
    <w:rsid w:val="009872fb"/>
    <w:pPr>
      <w:spacing w:before="0" w:after="200"/>
      <w:ind w:left="72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 w:customStyle="1">
    <w:name w:val="Header"/>
    <w:basedOn w:val="Normal"/>
    <w:rsid w:val="009872f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 w:customStyle="1">
    <w:name w:val="Footer"/>
    <w:basedOn w:val="Normal"/>
    <w:rsid w:val="009872fb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 w:customStyle="1">
    <w:name w:val="Conteúdo do quadro"/>
    <w:basedOn w:val="Normal"/>
    <w:qFormat/>
    <w:rsid w:val="009872fb"/>
    <w:pPr/>
    <w:rPr/>
  </w:style>
  <w:style w:type="paragraph" w:styleId="NormalWeb">
    <w:name w:val="Normal (Web)"/>
    <w:basedOn w:val="Normal"/>
    <w:uiPriority w:val="99"/>
    <w:semiHidden/>
    <w:unhideWhenUsed/>
    <w:qFormat/>
    <w:rsid w:val="00737b49"/>
    <w:pPr>
      <w:suppressAutoHyphens w:val="false"/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Western" w:customStyle="1">
    <w:name w:val="western"/>
    <w:basedOn w:val="Normal"/>
    <w:qFormat/>
    <w:rsid w:val="00a17adc"/>
    <w:pPr>
      <w:suppressAutoHyphens w:val="false"/>
      <w:spacing w:lineRule="auto" w:line="288" w:beforeAutospacing="1" w:after="142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paragraph" w:styleId="Western1" w:customStyle="1">
    <w:name w:val="western1"/>
    <w:basedOn w:val="Normal"/>
    <w:qFormat/>
    <w:rsid w:val="00a17adc"/>
    <w:pPr>
      <w:suppressAutoHyphens w:val="false"/>
      <w:spacing w:lineRule="auto" w:line="288" w:beforeAutospacing="1" w:after="0"/>
    </w:pPr>
    <w:rPr>
      <w:rFonts w:ascii="Liberation Serif" w:hAnsi="Liberation Serif" w:eastAsia="Times New Roman" w:cs="Liberation Serif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747b6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yperlink" Target="mailto:ppgbioquimica@gmail.com.br" TargetMode="External"/><Relationship Id="rId5" Type="http://schemas.openxmlformats.org/officeDocument/2006/relationships/hyperlink" Target="mailto:ppgbioquimica@gmail.com.br" TargetMode="Externa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456B9-22D7-4B50-A59E-94BA34E78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LibreOffice/7.5.0.3$Windows_X86_64 LibreOffice_project/c21113d003cd3efa8c53188764377a8272d9d6de</Application>
  <AppVersion>15.0000</AppVersion>
  <DocSecurity>0</DocSecurity>
  <Pages>4</Pages>
  <Words>949</Words>
  <Characters>5100</Characters>
  <CharactersWithSpaces>6080</CharactersWithSpaces>
  <Paragraphs>79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2021-12-20T11:25:00Z</dcterms:created>
  <dc:creator>laban</dc:creator>
  <dc:description/>
  <cp:keywords>procedimentos pós-defesa homologação diploma etapas</cp:keywords>
  <dc:language>pt-BR</dc:language>
  <cp:lastModifiedBy/>
  <cp:lastPrinted>2015-03-30T23:01:00Z</cp:lastPrinted>
  <dcterms:modified xsi:type="dcterms:W3CDTF">2023-10-18T08:21:19Z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